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540" w:lineRule="atLeast"/>
        <w:ind w:firstLine="540"/>
        <w:jc w:val="center"/>
        <w:textAlignment w:val="baseline"/>
        <w:rPr>
          <w:rFonts w:ascii="微软雅黑" w:hAnsi="微软雅黑" w:eastAsia="微软雅黑"/>
          <w:color w:val="0A0A0A"/>
          <w:sz w:val="36"/>
          <w:szCs w:val="36"/>
        </w:rPr>
      </w:pPr>
      <w:r>
        <w:rPr>
          <w:rFonts w:ascii="微软雅黑" w:hAnsi="微软雅黑" w:eastAsia="微软雅黑"/>
          <w:b/>
          <w:bCs/>
          <w:color w:val="0A0A0A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-386715</wp:posOffset>
                </wp:positionH>
                <wp:positionV relativeFrom="paragraph">
                  <wp:posOffset>-484505</wp:posOffset>
                </wp:positionV>
                <wp:extent cx="981075" cy="257175"/>
                <wp:effectExtent l="4445" t="5080" r="5080" b="444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45pt;margin-top:-38.15pt;height:20.25pt;width:77.25pt;z-index:251659264;mso-width-relative:page;mso-height-relative:page;" fillcolor="#FFFFFF" filled="t" stroked="t" coordsize="21600,21600" o:gfxdata="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Vw0XNgAAAAKAQAADwAAAAAAAAABACAAAAAiAAAAZHJz&#10;L2Rvd25yZXYueG1sUEsBAhQAFAAAAAgAh07iQG5foPQEAgAANQQAAA4AAAAAAAAAAQAgAAAAJwEA&#10;AGRycy9lMm9Eb2MueG1sUEsFBgAAAAAGAAYAWQEAAJ0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/>
          <w:b/>
          <w:bCs/>
          <w:color w:val="0A0A0A"/>
          <w:sz w:val="36"/>
          <w:szCs w:val="36"/>
        </w:rPr>
        <w:t>渤海理工职业学院2024年高职单招简章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jc w:val="both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b/>
          <w:bCs/>
          <w:color w:val="0A0A0A"/>
          <w:sz w:val="27"/>
          <w:szCs w:val="27"/>
        </w:rPr>
        <w:t>学校名称</w:t>
      </w:r>
      <w:r>
        <w:rPr>
          <w:rFonts w:hint="eastAsia" w:ascii="微软雅黑" w:hAnsi="微软雅黑" w:eastAsia="微软雅黑"/>
          <w:color w:val="0A0A0A"/>
          <w:sz w:val="27"/>
          <w:szCs w:val="27"/>
        </w:rPr>
        <w:t xml:space="preserve">：渤海理工职业学院      </w:t>
      </w:r>
      <w:r>
        <w:rPr>
          <w:rFonts w:hint="eastAsia" w:ascii="微软雅黑" w:hAnsi="微软雅黑" w:eastAsia="微软雅黑"/>
          <w:b/>
          <w:bCs/>
          <w:color w:val="0A0A0A"/>
          <w:sz w:val="27"/>
          <w:szCs w:val="27"/>
        </w:rPr>
        <w:t>办学类型：</w:t>
      </w:r>
      <w:r>
        <w:rPr>
          <w:rFonts w:hint="eastAsia" w:ascii="微软雅黑" w:hAnsi="微软雅黑" w:eastAsia="微软雅黑"/>
          <w:color w:val="0A0A0A"/>
          <w:sz w:val="27"/>
          <w:szCs w:val="27"/>
        </w:rPr>
        <w:t>民办全日制普通院校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b/>
          <w:bCs/>
          <w:color w:val="0A0A0A"/>
          <w:sz w:val="27"/>
          <w:szCs w:val="27"/>
        </w:rPr>
        <w:t>学校代码：</w:t>
      </w:r>
      <w:r>
        <w:rPr>
          <w:rFonts w:hint="eastAsia" w:ascii="微软雅黑" w:hAnsi="微软雅黑" w:eastAsia="微软雅黑"/>
          <w:color w:val="0A0A0A"/>
          <w:sz w:val="27"/>
          <w:szCs w:val="27"/>
        </w:rPr>
        <w:t xml:space="preserve">14472                      </w:t>
      </w:r>
      <w:r>
        <w:rPr>
          <w:rFonts w:hint="eastAsia" w:ascii="微软雅黑" w:hAnsi="微软雅黑" w:eastAsia="微软雅黑"/>
          <w:b/>
          <w:bCs/>
          <w:color w:val="0A0A0A"/>
          <w:sz w:val="27"/>
          <w:szCs w:val="27"/>
        </w:rPr>
        <w:t>办学层次：</w:t>
      </w:r>
      <w:r>
        <w:rPr>
          <w:rFonts w:hint="eastAsia" w:ascii="微软雅黑" w:hAnsi="微软雅黑" w:eastAsia="微软雅黑"/>
          <w:color w:val="0A0A0A"/>
          <w:sz w:val="27"/>
          <w:szCs w:val="27"/>
        </w:rPr>
        <w:t xml:space="preserve">专科 </w:t>
      </w:r>
    </w:p>
    <w:p>
      <w:pPr>
        <w:shd w:val="clear" w:color="auto" w:fill="FFFFFF"/>
        <w:spacing w:line="540" w:lineRule="atLeast"/>
        <w:ind w:firstLine="643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渤海理工职业学院（国标代码：14472）是经河北省人民政府批准、国家教育部备案的全日制普通高等职业院校。</w:t>
      </w:r>
    </w:p>
    <w:p>
      <w:pPr>
        <w:shd w:val="clear" w:color="auto" w:fill="FFFFFF"/>
        <w:spacing w:line="540" w:lineRule="atLeast"/>
        <w:ind w:firstLine="643"/>
        <w:textAlignment w:val="baseline"/>
        <w:rPr>
          <w:rFonts w:hint="eastAsia"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学院是国家教育部首批“现代学徒制”院校，河北省现代学徒制项目建设院校，河北省教育厅年检连续多年优秀，国务院国资委所属职业经理研究中心，河北省职业经理人培训学院，中国石油和化学工业联合会教育工作委员会委员单位，中国化工教育协会副会长单位，获得“中国石油和化学工业院校文化建设先进单位”。</w:t>
      </w:r>
    </w:p>
    <w:p>
      <w:pPr>
        <w:shd w:val="clear" w:color="auto" w:fill="FFFFFF"/>
        <w:spacing w:line="540" w:lineRule="atLeast"/>
        <w:ind w:firstLine="643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b/>
          <w:bCs/>
          <w:color w:val="0A0A0A"/>
          <w:sz w:val="27"/>
          <w:szCs w:val="27"/>
        </w:rPr>
        <w:t>一、招生专业及计划</w:t>
      </w:r>
    </w:p>
    <w:p>
      <w:pPr>
        <w:shd w:val="clear" w:color="auto" w:fill="FFFFFF"/>
        <w:spacing w:line="540" w:lineRule="atLeast"/>
        <w:ind w:firstLine="643"/>
        <w:textAlignment w:val="baseline"/>
        <w:rPr>
          <w:rFonts w:hint="default" w:ascii="微软雅黑" w:hAnsi="微软雅黑" w:eastAsia="微软雅黑"/>
          <w:color w:val="0A0A0A"/>
          <w:sz w:val="27"/>
          <w:szCs w:val="27"/>
          <w:lang w:val="en-US" w:eastAsia="zh-CN"/>
        </w:rPr>
      </w:pPr>
      <w:bookmarkStart w:id="0" w:name="_Hlk129852555"/>
      <w:r>
        <w:rPr>
          <w:rFonts w:hint="eastAsia" w:ascii="微软雅黑" w:hAnsi="微软雅黑" w:eastAsia="微软雅黑"/>
          <w:color w:val="0A0A0A"/>
          <w:sz w:val="27"/>
          <w:szCs w:val="27"/>
        </w:rPr>
        <w:t>详见河北省教育考试院公布的《2024年河北省普通高职院校单独考试招生计划》。招生专业详见</w:t>
      </w:r>
      <w:r>
        <w:rPr>
          <w:rFonts w:hint="eastAsia" w:ascii="微软雅黑" w:hAnsi="微软雅黑" w:eastAsia="微软雅黑"/>
          <w:color w:val="0A0A0A"/>
          <w:sz w:val="27"/>
          <w:szCs w:val="27"/>
          <w:lang w:val="en-US" w:eastAsia="zh-CN"/>
        </w:rPr>
        <w:t>附件1。</w:t>
      </w:r>
    </w:p>
    <w:bookmarkEnd w:id="0"/>
    <w:p>
      <w:pPr>
        <w:shd w:val="clear" w:color="auto" w:fill="FFFFFF"/>
        <w:spacing w:line="540" w:lineRule="atLeast"/>
        <w:ind w:firstLine="643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b/>
          <w:bCs/>
          <w:color w:val="0A0A0A"/>
          <w:sz w:val="27"/>
          <w:szCs w:val="27"/>
        </w:rPr>
        <w:t>二、身体条件要求</w:t>
      </w:r>
    </w:p>
    <w:p>
      <w:pPr>
        <w:shd w:val="clear" w:color="auto" w:fill="FFFFFF"/>
        <w:spacing w:line="540" w:lineRule="atLeast"/>
        <w:ind w:firstLine="64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1、我院执行教育部、卫生部、中国残疾人联合会印发的《普通高等学校招生体检工作指导意见》及有关补充规定。</w:t>
      </w:r>
    </w:p>
    <w:p>
      <w:pPr>
        <w:ind w:firstLine="640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2、报考旅游管理、酒店管理与数字化运营专业的考生要求五官端正，男生身高不宜低于170CM，女生身高不宜低于160CM；城市轨道交通运营管理专业色盲、色弱不适合报考。</w:t>
      </w:r>
    </w:p>
    <w:p>
      <w:pPr>
        <w:ind w:firstLine="540" w:firstLineChars="200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3、新生报到后，学院要进行新生入学资格和身体复查，对于弄虚作假、不符合录取条件的将取消入学资格。</w:t>
      </w:r>
    </w:p>
    <w:p>
      <w:pPr>
        <w:shd w:val="clear" w:color="auto" w:fill="FFFFFF"/>
        <w:spacing w:line="540" w:lineRule="atLeast"/>
        <w:ind w:firstLine="643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b/>
          <w:bCs/>
          <w:color w:val="0A0A0A"/>
          <w:sz w:val="27"/>
          <w:szCs w:val="27"/>
        </w:rPr>
        <w:t>三、考试安排和成绩、录取结果公布</w:t>
      </w:r>
    </w:p>
    <w:p>
      <w:pPr>
        <w:shd w:val="clear" w:color="auto" w:fill="FFFFFF"/>
        <w:spacing w:line="540" w:lineRule="atLeast"/>
        <w:ind w:firstLine="540" w:firstLineChars="20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考试安排、成绩查询、录取结果详见河北省教育考试院网站。考生也可向我校查询录取结果。最终以录取通知书为准。</w:t>
      </w:r>
    </w:p>
    <w:p>
      <w:pPr>
        <w:shd w:val="clear" w:color="auto" w:fill="FFFFFF"/>
        <w:spacing w:line="540" w:lineRule="atLeast"/>
        <w:ind w:firstLine="643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b/>
          <w:bCs/>
          <w:color w:val="0A0A0A"/>
          <w:sz w:val="27"/>
          <w:szCs w:val="27"/>
        </w:rPr>
        <w:t>四、录取规则</w:t>
      </w:r>
    </w:p>
    <w:p>
      <w:pPr>
        <w:shd w:val="clear" w:color="auto" w:fill="FFFFFF"/>
        <w:spacing w:line="540" w:lineRule="atLeast"/>
        <w:ind w:firstLine="64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1、实行按考试类分类录取。</w:t>
      </w:r>
    </w:p>
    <w:p>
      <w:pPr>
        <w:shd w:val="clear" w:color="auto" w:fill="FFFFFF"/>
        <w:spacing w:line="540" w:lineRule="atLeast"/>
        <w:ind w:firstLine="64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2、身体健康状况符合相关专业培养要求的进档考生，根据考生总分由高分到低分依次录取。</w:t>
      </w:r>
    </w:p>
    <w:p>
      <w:pPr>
        <w:shd w:val="clear" w:color="auto" w:fill="FFFFFF"/>
        <w:spacing w:line="540" w:lineRule="atLeast"/>
        <w:ind w:firstLine="64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3、总分相同时，报考面向普通高中毕业生计划的考生依次比较语文、数学、专业基础、职业适应性测试成绩，参考学生综合素质评价，择优录取；报考面向中职毕业生计划的考生依次比较语文、数学、专业能力测试、技术技能测试成绩，择优录取。</w:t>
      </w:r>
    </w:p>
    <w:p>
      <w:pPr>
        <w:shd w:val="clear" w:color="auto" w:fill="FFFFFF"/>
        <w:spacing w:line="540" w:lineRule="atLeast"/>
        <w:ind w:firstLine="56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4、考生所报专业志愿不能满足时，待所有考生专业志愿分配后，若服从专业调剂，则随机调剂到考生所报考考试类录取计划未满且符合条件的专业；不服从专业调剂，予以退档处理。</w:t>
      </w:r>
    </w:p>
    <w:p>
      <w:pPr>
        <w:shd w:val="clear" w:color="auto" w:fill="FFFFFF"/>
        <w:spacing w:line="540" w:lineRule="atLeast"/>
        <w:ind w:firstLine="64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5、在集中志愿录取缺额时，按照规定时间进行征集志愿录取。</w:t>
      </w:r>
    </w:p>
    <w:p>
      <w:pPr>
        <w:shd w:val="clear" w:color="auto" w:fill="FFFFFF"/>
        <w:spacing w:line="540" w:lineRule="atLeast"/>
        <w:ind w:firstLine="64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6、所有考生入学后外语教学为英语。</w:t>
      </w:r>
    </w:p>
    <w:p>
      <w:pPr>
        <w:shd w:val="clear" w:color="auto" w:fill="FFFFFF"/>
        <w:spacing w:line="540" w:lineRule="atLeast"/>
        <w:ind w:firstLine="64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7、免试录取相关要求、公告详见我院网站。</w:t>
      </w:r>
    </w:p>
    <w:p>
      <w:pPr>
        <w:shd w:val="clear" w:color="auto" w:fill="FFFFFF"/>
        <w:spacing w:line="540" w:lineRule="atLeast"/>
        <w:ind w:firstLine="643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b/>
          <w:bCs/>
          <w:color w:val="0A0A0A"/>
          <w:sz w:val="27"/>
          <w:szCs w:val="27"/>
        </w:rPr>
        <w:t>五、学费标准</w:t>
      </w:r>
    </w:p>
    <w:p>
      <w:pPr>
        <w:shd w:val="clear" w:color="auto" w:fill="FFFFFF"/>
        <w:spacing w:line="540" w:lineRule="atLeast"/>
        <w:ind w:firstLine="64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1.各专业学费详见河北省教育考试院公布的我院招生计划标注。</w:t>
      </w:r>
    </w:p>
    <w:p>
      <w:pPr>
        <w:shd w:val="clear" w:color="auto" w:fill="FFFFFF"/>
        <w:spacing w:line="540" w:lineRule="atLeast"/>
        <w:ind w:firstLine="64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2.学院为学生成绩优异的学生设有国家奖学金；为家庭经济困难的学生设有国家励志奖学金、国家助学金等。</w:t>
      </w:r>
    </w:p>
    <w:p>
      <w:pPr>
        <w:shd w:val="clear" w:color="auto" w:fill="FFFFFF"/>
        <w:spacing w:line="540" w:lineRule="atLeast"/>
        <w:ind w:firstLine="643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b/>
          <w:bCs/>
          <w:color w:val="0A0A0A"/>
          <w:sz w:val="27"/>
          <w:szCs w:val="27"/>
        </w:rPr>
        <w:t>六、颁发学历证书的学校名称及证书种类</w:t>
      </w:r>
    </w:p>
    <w:p>
      <w:pPr>
        <w:shd w:val="clear" w:color="auto" w:fill="FFFFFF"/>
        <w:spacing w:line="540" w:lineRule="atLeast"/>
        <w:ind w:firstLine="640"/>
        <w:textAlignment w:val="baseline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学生学业期满，成绩合格，符合毕业条件，颁发由渤海理工职业学院具印、经教育部学历电子注册的“高等学校专科学历证书”。</w:t>
      </w:r>
    </w:p>
    <w:p>
      <w:pPr>
        <w:ind w:firstLine="540" w:firstLineChars="200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七、学院地址：河北省黄骅市北海路1777号</w:t>
      </w:r>
    </w:p>
    <w:p>
      <w:pPr>
        <w:ind w:firstLine="540" w:firstLineChars="200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八、学院网址：</w:t>
      </w:r>
      <w:r>
        <w:fldChar w:fldCharType="begin"/>
      </w:r>
      <w:r>
        <w:instrText xml:space="preserve"> HYPERLINK "https://www.bhlgxy.cn/" </w:instrText>
      </w:r>
      <w:r>
        <w:fldChar w:fldCharType="separate"/>
      </w:r>
      <w:r>
        <w:rPr>
          <w:rStyle w:val="5"/>
          <w:rFonts w:hint="eastAsia" w:ascii="微软雅黑" w:hAnsi="微软雅黑" w:eastAsia="微软雅黑"/>
          <w:color w:val="0A0A0A"/>
          <w:sz w:val="27"/>
          <w:szCs w:val="27"/>
        </w:rPr>
        <w:t>https://www.bhlgxy.cn/</w:t>
      </w:r>
      <w:r>
        <w:rPr>
          <w:rStyle w:val="5"/>
          <w:rFonts w:hint="eastAsia" w:ascii="微软雅黑" w:hAnsi="微软雅黑" w:eastAsia="微软雅黑"/>
          <w:color w:val="0A0A0A"/>
          <w:sz w:val="27"/>
          <w:szCs w:val="27"/>
        </w:rPr>
        <w:fldChar w:fldCharType="end"/>
      </w:r>
    </w:p>
    <w:p>
      <w:pPr>
        <w:ind w:firstLine="560"/>
        <w:rPr>
          <w:rFonts w:ascii="微软雅黑" w:hAnsi="微软雅黑" w:eastAsia="微软雅黑"/>
          <w:color w:val="0A0A0A"/>
          <w:sz w:val="27"/>
          <w:szCs w:val="27"/>
        </w:rPr>
      </w:pPr>
      <w:r>
        <w:rPr>
          <w:rFonts w:hint="eastAsia" w:ascii="微软雅黑" w:hAnsi="微软雅黑" w:eastAsia="微软雅黑"/>
          <w:color w:val="0A0A0A"/>
          <w:sz w:val="27"/>
          <w:szCs w:val="27"/>
        </w:rPr>
        <w:t>九、电话：0317-7557996(兼传真)  咨询QQ:3027322047</w:t>
      </w:r>
    </w:p>
    <w:p>
      <w:pPr>
        <w:shd w:val="clear" w:color="auto" w:fill="FFFFFF"/>
        <w:spacing w:line="540" w:lineRule="atLeast"/>
        <w:ind w:firstLine="643"/>
        <w:textAlignment w:val="baseline"/>
        <w:rPr>
          <w:rFonts w:hint="eastAsia" w:ascii="微软雅黑" w:hAnsi="微软雅黑" w:eastAsia="微软雅黑"/>
          <w:color w:val="0A0A0A"/>
          <w:sz w:val="27"/>
          <w:szCs w:val="27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附件1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</w:t>
      </w:r>
    </w:p>
    <w:tbl>
      <w:tblPr>
        <w:tblStyle w:val="3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894"/>
        <w:gridCol w:w="1958"/>
        <w:gridCol w:w="19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2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1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92D05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学费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1" w:line="232" w:lineRule="auto"/>
              <w:ind w:left="56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机械制造及自动化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计算机辅助设计与制造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0" w:line="184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460104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0" w:line="184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2" w:line="231" w:lineRule="auto"/>
              <w:ind w:left="56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机电一体化技术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1" w:line="184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460301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1" w:line="184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2" w:line="231" w:lineRule="auto"/>
              <w:ind w:left="81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电气自动化技术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2" w:line="183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460306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2" w:line="183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3" w:line="230" w:lineRule="auto"/>
              <w:ind w:left="62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智能控制技术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3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460303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3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3" w:line="230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工业机器人技术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3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460305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3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3" w:line="230" w:lineRule="auto"/>
              <w:ind w:left="59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无人机应用技术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3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highlight w:val="none"/>
              </w:rPr>
              <w:t>460609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3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highlight w:val="none"/>
                <w:lang w:val="en-US" w:eastAsia="zh-CN"/>
              </w:rPr>
              <w:t>13000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4" w:line="229" w:lineRule="auto"/>
              <w:ind w:left="58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新能源汽车技术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4" w:line="183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460702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4" w:line="183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4" w:line="229" w:lineRule="auto"/>
              <w:ind w:left="81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电子信息工程技术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510101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5" w:line="228" w:lineRule="auto"/>
              <w:ind w:left="58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新能源装备技术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5" w:line="183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460204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5" w:line="183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5" w:line="228" w:lineRule="auto"/>
              <w:ind w:left="58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化工自动化技术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4" w:line="184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470211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4" w:line="184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2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5" w:line="228" w:lineRule="auto"/>
              <w:ind w:left="61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商务管理</w:t>
            </w:r>
          </w:p>
        </w:tc>
        <w:tc>
          <w:tcPr>
            <w:tcW w:w="11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6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530603</w:t>
            </w:r>
          </w:p>
        </w:tc>
        <w:tc>
          <w:tcPr>
            <w:tcW w:w="11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6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7" w:line="227" w:lineRule="auto"/>
              <w:ind w:left="81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电子商务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5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530701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5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7" w:line="227" w:lineRule="auto"/>
              <w:ind w:left="59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现代物流管理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7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530802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7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8" w:line="226" w:lineRule="auto"/>
              <w:ind w:left="63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市场营销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7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530605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7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8" w:line="226" w:lineRule="auto"/>
              <w:ind w:left="73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网络营销与直播电商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8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530704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8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9" w:line="225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建筑室内设计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7" w:line="184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440106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7" w:line="184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9" w:line="225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环境艺术设计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8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550106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8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9" w:line="225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影视多媒体技术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560208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0" w:line="224" w:lineRule="auto"/>
              <w:ind w:left="58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动漫设计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550116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0" w:line="224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全媒体广告策划与营销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560216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1" w:line="224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城市轨道交通机电技术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60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500603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60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0" w:line="224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城市轨道交通运营管理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60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500606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60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1" w:line="22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建筑材料工程技术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430701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1" w:line="22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建筑工程技术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60" w:line="184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440301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60" w:line="184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1" w:line="22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工程造价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440501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1" w:line="223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城市轨道交通工程技术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60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500601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60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2" w:line="228" w:lineRule="auto"/>
              <w:ind w:left="61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安全防范技术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60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580701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60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22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7" w:line="232" w:lineRule="auto"/>
              <w:ind w:left="63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高速铁路客运服务</w:t>
            </w:r>
          </w:p>
        </w:tc>
        <w:tc>
          <w:tcPr>
            <w:tcW w:w="11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6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500113</w:t>
            </w:r>
          </w:p>
        </w:tc>
        <w:tc>
          <w:tcPr>
            <w:tcW w:w="11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6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1" w:line="232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建筑智能化工程技术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1" w:line="183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440404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1" w:line="183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2" w:line="231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大数据与会计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2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530302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2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2" w:line="231" w:lineRule="auto"/>
              <w:ind w:left="56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旅游管理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1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540101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1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7800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3" w:line="230" w:lineRule="auto"/>
              <w:ind w:left="61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酒店管理与数字化运营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2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540106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2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7000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3" w:line="230" w:lineRule="auto"/>
              <w:ind w:left="59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人力资源管理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590202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3" w:line="230" w:lineRule="auto"/>
              <w:ind w:left="59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金融科技应用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530202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4" w:line="229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婴幼儿托育服务与管理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4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520802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4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4" w:line="229" w:lineRule="auto"/>
              <w:ind w:left="58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财税大数据应用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530101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3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5" w:line="228" w:lineRule="auto"/>
              <w:ind w:left="58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移动互联应用技术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4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510106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4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5" w:line="228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highlight w:val="none"/>
              </w:rPr>
              <w:t>物联网应用技术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4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510102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4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22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5" w:line="228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计算机网络技术</w:t>
            </w:r>
          </w:p>
        </w:tc>
        <w:tc>
          <w:tcPr>
            <w:tcW w:w="11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5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510202</w:t>
            </w:r>
          </w:p>
        </w:tc>
        <w:tc>
          <w:tcPr>
            <w:tcW w:w="11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5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7" w:line="227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大数据技术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5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510205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5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7" w:line="227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信息安全技术应用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6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510207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6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8" w:line="226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药品生产技术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6" w:line="184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490201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6" w:line="184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8" w:line="226" w:lineRule="auto"/>
              <w:ind w:left="58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highlight w:val="none"/>
              </w:rPr>
              <w:t>护理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7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520201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7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9" w:line="225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助产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8" w:line="183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520202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8" w:line="183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9" w:line="225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highlight w:val="none"/>
              </w:rPr>
              <w:t>药学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8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520301</w:t>
            </w:r>
          </w:p>
        </w:tc>
        <w:tc>
          <w:tcPr>
            <w:tcW w:w="11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8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19" w:line="225" w:lineRule="auto"/>
              <w:ind w:left="56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highlight w:val="none"/>
              </w:rPr>
              <w:t>康复治疗技术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8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520601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8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0" w:line="224" w:lineRule="auto"/>
              <w:ind w:left="6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医学检验技术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6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520501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60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0" w:line="224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汽车制造与试验技术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乘用车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460701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1" w:line="238" w:lineRule="auto"/>
              <w:ind w:left="57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汽车制造与试验技术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汽车电控系统检测与维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修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55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460701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6"/>
              <w:spacing w:before="21" w:line="238" w:lineRule="auto"/>
              <w:ind w:left="57" w:leftChars="0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休闲服务与管理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55" w:leftChars="0"/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540113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pStyle w:val="6"/>
              <w:spacing w:before="59" w:line="184" w:lineRule="auto"/>
              <w:ind w:left="55" w:leftChars="0"/>
              <w:jc w:val="center"/>
              <w:rPr>
                <w:rFonts w:hint="default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8"/>
                <w:sz w:val="24"/>
                <w:szCs w:val="24"/>
                <w:lang w:val="en-US" w:eastAsia="zh-CN"/>
              </w:rPr>
              <w:t>7000</w:t>
            </w:r>
          </w:p>
        </w:tc>
      </w:tr>
    </w:tbl>
    <w:p/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NDBlOTBlYzY3YmFhYTJjNWViNmUwN2M4M2JmMTkifQ=="/>
  </w:docVars>
  <w:rsids>
    <w:rsidRoot w:val="54926E98"/>
    <w:rsid w:val="5492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Hyperlink"/>
    <w:qFormat/>
    <w:uiPriority w:val="0"/>
    <w:rPr>
      <w:color w:val="0000FF"/>
      <w:u w:val="single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2024-01-19T01:45:00Z</dcterms:created>
  <dc:creator>A李硕15931193833</dc:creator>
  <cp:lastModifiedBy>A李硕15931193833</cp:lastModifiedBy>
  <dcterms:modified xsi:type="dcterms:W3CDTF">2024-01-19T02:57:08Z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8013584F3E85436880A922DFBA8B76C3_11</vt:lpwstr>
  </property>
</Properties>
</file>