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12" w:afterLines="100" w:line="400" w:lineRule="exact"/>
        <w:jc w:val="center"/>
        <w:rPr>
          <w:rFonts w:ascii="黑体" w:hAnsi="黑体" w:eastAsia="黑体" w:cs="黑体"/>
          <w:bCs/>
          <w:color w:val="auto"/>
          <w:kern w:val="0"/>
          <w:sz w:val="36"/>
          <w:szCs w:val="36"/>
        </w:rPr>
      </w:pPr>
      <w:r>
        <w:rPr>
          <w:rFonts w:hint="eastAsia" w:ascii="黑体" w:hAnsi="黑体" w:eastAsia="黑体" w:cs="黑体"/>
          <w:bCs/>
          <w:color w:val="auto"/>
          <w:kern w:val="0"/>
          <w:sz w:val="36"/>
          <w:szCs w:val="36"/>
        </w:rPr>
        <w:t>河北科技工程职业技术大学</w:t>
      </w:r>
    </w:p>
    <w:p>
      <w:pPr>
        <w:widowControl/>
        <w:shd w:val="clear" w:color="auto" w:fill="FFFFFF"/>
        <w:spacing w:after="312" w:afterLines="100" w:line="400" w:lineRule="exact"/>
        <w:jc w:val="center"/>
        <w:rPr>
          <w:rFonts w:ascii="黑体" w:hAnsi="黑体" w:eastAsia="黑体" w:cs="黑体"/>
          <w:bCs/>
          <w:color w:val="auto"/>
          <w:kern w:val="0"/>
          <w:sz w:val="36"/>
          <w:szCs w:val="36"/>
        </w:rPr>
      </w:pPr>
      <w:r>
        <w:rPr>
          <w:rFonts w:hint="eastAsia" w:ascii="黑体" w:hAnsi="黑体" w:eastAsia="黑体" w:cs="黑体"/>
          <w:bCs/>
          <w:color w:val="auto"/>
          <w:kern w:val="0"/>
          <w:sz w:val="36"/>
          <w:szCs w:val="36"/>
        </w:rPr>
        <w:t>202</w:t>
      </w:r>
      <w:r>
        <w:rPr>
          <w:rFonts w:hint="eastAsia" w:ascii="黑体" w:hAnsi="黑体" w:eastAsia="黑体" w:cs="黑体"/>
          <w:bCs/>
          <w:color w:val="auto"/>
          <w:kern w:val="0"/>
          <w:sz w:val="36"/>
          <w:szCs w:val="36"/>
          <w:lang w:val="en-US" w:eastAsia="zh-CN"/>
        </w:rPr>
        <w:t>4</w:t>
      </w:r>
      <w:r>
        <w:rPr>
          <w:rFonts w:hint="eastAsia" w:ascii="黑体" w:hAnsi="黑体" w:eastAsia="黑体" w:cs="黑体"/>
          <w:bCs/>
          <w:color w:val="auto"/>
          <w:kern w:val="0"/>
          <w:sz w:val="36"/>
          <w:szCs w:val="36"/>
        </w:rPr>
        <w:t>年单独考试招生简章</w:t>
      </w:r>
    </w:p>
    <w:p>
      <w:pPr>
        <w:widowControl/>
        <w:shd w:val="clear" w:color="auto" w:fill="FFFFFF"/>
        <w:spacing w:line="480" w:lineRule="exact"/>
        <w:rPr>
          <w:rFonts w:ascii="楷体" w:hAnsi="楷体" w:eastAsia="楷体" w:cs="楷体"/>
          <w:b/>
        </w:rPr>
      </w:pPr>
      <w:r>
        <w:rPr>
          <w:rFonts w:hint="eastAsia" w:ascii="楷体" w:hAnsi="楷体" w:eastAsia="楷体" w:cs="楷体"/>
          <w:b/>
        </w:rPr>
        <w:t>学校名称</w:t>
      </w:r>
      <w:r>
        <w:rPr>
          <w:rFonts w:hint="eastAsia" w:ascii="楷体" w:hAnsi="楷体" w:eastAsia="楷体" w:cs="楷体"/>
        </w:rPr>
        <w:t>：河北科技工程职业技术大学</w:t>
      </w:r>
      <w:r>
        <w:rPr>
          <w:rFonts w:hint="eastAsia" w:ascii="楷体" w:hAnsi="楷体" w:eastAsia="楷体" w:cs="楷体"/>
          <w:b/>
        </w:rPr>
        <w:t xml:space="preserve">   </w:t>
      </w:r>
    </w:p>
    <w:p>
      <w:pPr>
        <w:widowControl/>
        <w:shd w:val="clear" w:color="auto" w:fill="FFFFFF"/>
        <w:spacing w:line="480" w:lineRule="exact"/>
        <w:rPr>
          <w:rFonts w:ascii="楷体" w:hAnsi="楷体" w:eastAsia="楷体" w:cs="楷体"/>
        </w:rPr>
      </w:pPr>
      <w:r>
        <w:rPr>
          <w:rFonts w:hint="eastAsia" w:ascii="楷体" w:hAnsi="楷体" w:eastAsia="楷体" w:cs="楷体"/>
          <w:b/>
        </w:rPr>
        <w:t>办学类型：</w:t>
      </w:r>
      <w:r>
        <w:rPr>
          <w:rFonts w:hint="eastAsia" w:ascii="楷体" w:hAnsi="楷体" w:eastAsia="楷体" w:cs="楷体"/>
        </w:rPr>
        <w:t>公办全日制本科层次职业学校</w:t>
      </w:r>
    </w:p>
    <w:p>
      <w:pPr>
        <w:widowControl/>
        <w:shd w:val="clear" w:color="auto" w:fill="FFFFFF"/>
        <w:spacing w:line="480" w:lineRule="exact"/>
        <w:jc w:val="left"/>
        <w:rPr>
          <w:rFonts w:ascii="楷体" w:hAnsi="楷体" w:eastAsia="楷体" w:cs="楷体"/>
        </w:rPr>
      </w:pPr>
      <w:r>
        <w:rPr>
          <w:rFonts w:hint="eastAsia" w:ascii="楷体" w:hAnsi="楷体" w:eastAsia="楷体" w:cs="楷体"/>
          <w:b/>
        </w:rPr>
        <w:t>学校代码：</w:t>
      </w:r>
      <w:r>
        <w:rPr>
          <w:rFonts w:hint="eastAsia" w:ascii="楷体" w:hAnsi="楷体" w:eastAsia="楷体" w:cs="楷体"/>
        </w:rPr>
        <w:t xml:space="preserve">16203       </w:t>
      </w:r>
      <w:r>
        <w:rPr>
          <w:rFonts w:hint="eastAsia" w:ascii="楷体" w:hAnsi="楷体" w:eastAsia="楷体" w:cs="楷体"/>
          <w:b/>
        </w:rPr>
        <w:t>办学层次：</w:t>
      </w:r>
      <w:r>
        <w:rPr>
          <w:rFonts w:hint="eastAsia" w:ascii="楷体" w:hAnsi="楷体" w:eastAsia="楷体" w:cs="楷体"/>
        </w:rPr>
        <w:t>本科</w:t>
      </w:r>
    </w:p>
    <w:p>
      <w:pPr>
        <w:widowControl/>
        <w:shd w:val="clear" w:color="auto" w:fill="FFFFFF"/>
        <w:spacing w:line="480" w:lineRule="exact"/>
        <w:jc w:val="left"/>
        <w:rPr>
          <w:rFonts w:ascii="仿宋" w:eastAsia="仿宋" w:cs="仿宋"/>
        </w:rPr>
      </w:pPr>
    </w:p>
    <w:p>
      <w:pPr>
        <w:keepNext w:val="0"/>
        <w:keepLines w:val="0"/>
        <w:pageBreakBefore w:val="0"/>
        <w:widowControl/>
        <w:shd w:val="clear" w:color="auto" w:fill="FFFFFF"/>
        <w:kinsoku/>
        <w:wordWrap w:val="0"/>
        <w:overflowPunct/>
        <w:topLinePunct w:val="0"/>
        <w:autoSpaceDE/>
        <w:autoSpaceDN/>
        <w:bidi w:val="0"/>
        <w:adjustRightInd/>
        <w:snapToGrid/>
        <w:spacing w:line="240" w:lineRule="auto"/>
        <w:ind w:right="227" w:firstLine="560" w:firstLineChars="200"/>
        <w:jc w:val="left"/>
        <w:textAlignment w:val="auto"/>
        <w:rPr>
          <w:rFonts w:ascii="仿宋" w:eastAsia="仿宋" w:cs="仿宋"/>
        </w:rPr>
      </w:pPr>
      <w:r>
        <w:rPr>
          <w:rFonts w:ascii="仿宋" w:eastAsia="仿宋" w:cs="仿宋"/>
        </w:rPr>
        <w:t>河北科技工程职业技术大学是经教育部批准，以邢台职业技术学院(原中国人民解放军军需工业学院)为主体、与华北电力大学科技学院合并转设成立的省属全日制公办本科层次职业高等学校，是全国第一批、河北省第一所“国家示范性高等职业院校”，全国第一批“国家优质高等职业院校”立项建设单位、教育部首批学徒制建设单位，多次荣获“全国毕业生就业先进集体”、“全国高校毕业生就业典型经验50强”、“全国</w:t>
      </w:r>
      <w:r>
        <w:rPr>
          <w:rFonts w:hint="eastAsia" w:ascii="仿宋" w:eastAsia="仿宋" w:cs="仿宋"/>
          <w:lang w:val="en-US" w:eastAsia="zh-CN"/>
        </w:rPr>
        <w:t>高校</w:t>
      </w:r>
      <w:r>
        <w:rPr>
          <w:rFonts w:ascii="仿宋" w:eastAsia="仿宋" w:cs="仿宋"/>
        </w:rPr>
        <w:t>创新创业典型经验50强”和“全国深化创新创业教育改革示范</w:t>
      </w:r>
      <w:r>
        <w:rPr>
          <w:rFonts w:hint="eastAsia" w:ascii="仿宋" w:eastAsia="仿宋" w:cs="仿宋"/>
          <w:lang w:val="en-US" w:eastAsia="zh-CN"/>
        </w:rPr>
        <w:t>高</w:t>
      </w:r>
      <w:r>
        <w:rPr>
          <w:rFonts w:ascii="仿宋" w:eastAsia="仿宋" w:cs="仿宋"/>
        </w:rPr>
        <w:t>校”等荣誉称号。</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b/>
        </w:rPr>
      </w:pPr>
      <w:r>
        <w:rPr>
          <w:rFonts w:hint="eastAsia" w:ascii="仿宋" w:eastAsia="仿宋" w:cs="仿宋"/>
          <w:b/>
        </w:rPr>
        <w:t>1.招生计划</w:t>
      </w:r>
    </w:p>
    <w:p>
      <w:pPr>
        <w:keepNext w:val="0"/>
        <w:keepLines w:val="0"/>
        <w:pageBreakBefore w:val="0"/>
        <w:widowControl/>
        <w:shd w:val="clear" w:color="auto" w:fill="FFFFFF"/>
        <w:kinsoku/>
        <w:overflowPunct/>
        <w:topLinePunct w:val="0"/>
        <w:autoSpaceDE/>
        <w:autoSpaceDN/>
        <w:bidi w:val="0"/>
        <w:adjustRightInd/>
        <w:snapToGrid/>
        <w:spacing w:line="240" w:lineRule="auto"/>
        <w:ind w:firstLine="560"/>
        <w:jc w:val="left"/>
        <w:textAlignment w:val="auto"/>
        <w:rPr>
          <w:rFonts w:ascii="仿宋_GB2312" w:hAnsi="仿宋_GB2312" w:cs="仿宋_GB2312"/>
          <w:b/>
          <w:color w:val="222222"/>
          <w:kern w:val="0"/>
          <w:szCs w:val="32"/>
          <w:shd w:val="clear" w:color="auto" w:fill="FFFFFF"/>
          <w:lang w:bidi="ar"/>
        </w:rPr>
      </w:pPr>
      <w:r>
        <w:rPr>
          <w:rFonts w:hint="eastAsia" w:ascii="仿宋" w:eastAsia="仿宋" w:cs="仿宋"/>
        </w:rPr>
        <w:t>2024年各招生专业按面向普通高中毕业生计划和面向中职生计划分列。待单招报名结束后，根据报名情况拟定分专业招生计划，具体招生计划以省教育</w:t>
      </w:r>
      <w:r>
        <w:rPr>
          <w:rFonts w:hint="eastAsia" w:ascii="仿宋" w:eastAsia="仿宋" w:cs="仿宋"/>
          <w:lang w:val="en-US" w:eastAsia="zh-CN"/>
        </w:rPr>
        <w:t>考试院</w:t>
      </w:r>
      <w:r>
        <w:rPr>
          <w:rFonts w:hint="eastAsia" w:ascii="仿宋" w:eastAsia="仿宋" w:cs="仿宋"/>
        </w:rPr>
        <w:t>最终审核公布计划为准。</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hint="eastAsia" w:ascii="仿宋" w:eastAsia="仿宋" w:cs="仿宋"/>
          <w:b/>
        </w:rPr>
      </w:pPr>
      <w:r>
        <w:rPr>
          <w:rFonts w:hint="eastAsia" w:ascii="仿宋" w:eastAsia="仿宋" w:cs="仿宋"/>
          <w:b/>
        </w:rPr>
        <w:t>2.相关专业招生要求</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222222"/>
          <w:kern w:val="0"/>
          <w:sz w:val="32"/>
          <w:szCs w:val="32"/>
          <w:shd w:val="clear" w:color="auto" w:fill="FFFFFF"/>
          <w:lang w:bidi="ar"/>
        </w:rPr>
      </w:pPr>
      <w:r>
        <w:rPr>
          <w:rFonts w:hint="eastAsia" w:ascii="仿宋" w:eastAsia="仿宋" w:cs="仿宋"/>
        </w:rPr>
        <w:t>（1）思想政治品德符合教育部有关规定。</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仿宋" w:eastAsia="仿宋" w:cs="仿宋"/>
        </w:rPr>
      </w:pPr>
      <w:r>
        <w:rPr>
          <w:rFonts w:hint="eastAsia" w:ascii="仿宋" w:eastAsia="仿宋" w:cs="仿宋"/>
        </w:rPr>
        <w:t>（2）时尚表演与传播专业要求男生身高180cm及以上，女生身高165cm及以上；其他专业对考生身体条件的要求，依据教育部《普通高等学校招生体检工作指导意见》。</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b/>
        </w:rPr>
      </w:pPr>
      <w:r>
        <w:rPr>
          <w:rFonts w:hint="eastAsia" w:ascii="仿宋" w:eastAsia="仿宋" w:cs="仿宋"/>
          <w:b/>
        </w:rPr>
        <w:t>3.考试安排和成绩、录取结果公布</w:t>
      </w:r>
    </w:p>
    <w:p>
      <w:pPr>
        <w:widowControl/>
        <w:shd w:val="clear" w:color="auto" w:fill="FFFFFF"/>
        <w:spacing w:line="500" w:lineRule="atLeast"/>
        <w:ind w:firstLine="560"/>
        <w:jc w:val="left"/>
        <w:rPr>
          <w:rFonts w:hint="eastAsia" w:ascii="仿宋" w:eastAsia="仿宋" w:cs="仿宋"/>
        </w:rPr>
      </w:pPr>
      <w:r>
        <w:rPr>
          <w:rFonts w:hint="eastAsia" w:ascii="仿宋" w:eastAsia="仿宋" w:cs="仿宋"/>
        </w:rPr>
        <w:t>考试安排、成绩查询可登录河北省教育考试院官网（网址：</w:t>
      </w:r>
      <w:r>
        <w:rPr>
          <w:rFonts w:hint="eastAsia" w:ascii="仿宋" w:eastAsia="仿宋" w:cs="仿宋"/>
        </w:rPr>
        <w:fldChar w:fldCharType="begin"/>
      </w:r>
      <w:r>
        <w:rPr>
          <w:rFonts w:hint="eastAsia" w:ascii="仿宋" w:eastAsia="仿宋" w:cs="仿宋"/>
        </w:rPr>
        <w:instrText xml:space="preserve"> HYPERLINK "http://www.hebeea.edu.cn" </w:instrText>
      </w:r>
      <w:r>
        <w:rPr>
          <w:rFonts w:hint="eastAsia" w:ascii="仿宋" w:eastAsia="仿宋" w:cs="仿宋"/>
        </w:rPr>
        <w:fldChar w:fldCharType="separate"/>
      </w:r>
      <w:r>
        <w:rPr>
          <w:rFonts w:hint="eastAsia" w:ascii="仿宋" w:eastAsia="仿宋" w:cs="仿宋"/>
        </w:rPr>
        <w:t>http://www.hebeea.edu.cn</w:t>
      </w:r>
      <w:r>
        <w:rPr>
          <w:rFonts w:hint="eastAsia" w:ascii="仿宋" w:eastAsia="仿宋" w:cs="仿宋"/>
        </w:rPr>
        <w:fldChar w:fldCharType="end"/>
      </w:r>
      <w:r>
        <w:rPr>
          <w:rFonts w:hint="eastAsia" w:ascii="仿宋" w:eastAsia="仿宋" w:cs="仿宋"/>
        </w:rPr>
        <w:t>，录取结果详见我校招生信息网（网址：http://zs.xpc.edu.cn/）查询。</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b/>
        </w:rPr>
      </w:pPr>
      <w:r>
        <w:rPr>
          <w:rFonts w:hint="eastAsia" w:ascii="仿宋" w:eastAsia="仿宋" w:cs="仿宋"/>
          <w:b/>
        </w:rPr>
        <w:t>4.录取规则</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ascii="仿宋" w:eastAsia="仿宋" w:cs="仿宋"/>
        </w:rPr>
      </w:pPr>
      <w:r>
        <w:rPr>
          <w:rFonts w:hint="eastAsia" w:ascii="仿宋" w:eastAsia="仿宋" w:cs="仿宋"/>
        </w:rPr>
        <w:t>（1）按考试类分类录取，按照“分数优先、遵循志愿”的原则。对于进档考生，根据总分从高分到低分依次择优录取。</w:t>
      </w:r>
    </w:p>
    <w:p>
      <w:pPr>
        <w:widowControl/>
        <w:shd w:val="clear" w:color="auto" w:fill="FFFFFF"/>
        <w:spacing w:line="500" w:lineRule="atLeast"/>
        <w:ind w:firstLine="560"/>
        <w:jc w:val="left"/>
        <w:rPr>
          <w:rFonts w:ascii="仿宋" w:eastAsia="仿宋" w:cs="仿宋"/>
        </w:rPr>
      </w:pPr>
      <w:r>
        <w:rPr>
          <w:rFonts w:hint="eastAsia" w:ascii="仿宋" w:eastAsia="仿宋" w:cs="仿宋"/>
        </w:rPr>
        <w:t>总分相同时，职业技能考试成绩高者优先录取；仍相同，按语文、数学、专业基础（或</w:t>
      </w:r>
      <w:r>
        <w:rPr>
          <w:rFonts w:ascii="仿宋" w:eastAsia="仿宋" w:cs="仿宋"/>
        </w:rPr>
        <w:t>专业能力测试</w:t>
      </w:r>
      <w:r>
        <w:rPr>
          <w:rFonts w:hint="eastAsia" w:ascii="仿宋" w:eastAsia="仿宋" w:cs="仿宋"/>
        </w:rPr>
        <w:t>）、职业适应性测试（或</w:t>
      </w:r>
      <w:r>
        <w:rPr>
          <w:rFonts w:ascii="仿宋" w:eastAsia="仿宋" w:cs="仿宋"/>
        </w:rPr>
        <w:t>技术技能测试</w:t>
      </w:r>
      <w:r>
        <w:rPr>
          <w:rFonts w:hint="eastAsia" w:ascii="仿宋" w:eastAsia="仿宋" w:cs="仿宋"/>
        </w:rPr>
        <w:t>）依次比较单科成绩择优录取。</w:t>
      </w:r>
      <w:r>
        <w:rPr>
          <w:rFonts w:ascii="仿宋" w:eastAsia="仿宋" w:cs="仿宋"/>
        </w:rPr>
        <w:t>最后将无法满足专业志愿但服从专业调剂的考生录到尚有缺额且符合条件的专业，不服从调剂则作退档处理。</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ascii="仿宋" w:eastAsia="仿宋" w:cs="仿宋"/>
        </w:rPr>
      </w:pPr>
      <w:r>
        <w:rPr>
          <w:rFonts w:hint="eastAsia" w:ascii="仿宋" w:eastAsia="仿宋" w:cs="仿宋"/>
        </w:rPr>
        <w:t>（2）缺考处理：对于缺考（免试者除外）及单科考试成绩为零分的考生，不予录取。</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ascii="仿宋" w:eastAsia="仿宋" w:cs="仿宋"/>
        </w:rPr>
      </w:pPr>
      <w:r>
        <w:rPr>
          <w:rFonts w:hint="eastAsia" w:ascii="仿宋" w:eastAsia="仿宋" w:cs="仿宋"/>
        </w:rPr>
        <w:t>（3）中外合作办学专业只录取填报有中外合作办学专业志愿且高考报名时考试类型选择“统考”的考生。</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ascii="仿宋" w:eastAsia="仿宋" w:cs="仿宋"/>
        </w:rPr>
      </w:pPr>
      <w:r>
        <w:rPr>
          <w:rFonts w:hint="eastAsia" w:ascii="仿宋" w:eastAsia="仿宋" w:cs="仿宋"/>
        </w:rPr>
        <w:t>（4）如果集中志愿录取未完成单独招生计划，则公布计划缺额，进行一次征集志愿。一次征集志愿录取规则与集中志愿录取规则相同。</w:t>
      </w:r>
    </w:p>
    <w:p>
      <w:pPr>
        <w:keepNext w:val="0"/>
        <w:keepLines w:val="0"/>
        <w:pageBreakBefore w:val="0"/>
        <w:widowControl/>
        <w:shd w:val="clear" w:color="auto" w:fill="FFFFFF"/>
        <w:kinsoku/>
        <w:overflowPunct/>
        <w:topLinePunct w:val="0"/>
        <w:autoSpaceDE/>
        <w:autoSpaceDN/>
        <w:bidi w:val="0"/>
        <w:adjustRightInd/>
        <w:snapToGrid/>
        <w:spacing w:line="240" w:lineRule="auto"/>
        <w:ind w:firstLine="560"/>
        <w:jc w:val="left"/>
        <w:textAlignment w:val="auto"/>
        <w:rPr>
          <w:rFonts w:ascii="仿宋" w:eastAsia="仿宋" w:cs="仿宋"/>
        </w:rPr>
      </w:pPr>
      <w:r>
        <w:rPr>
          <w:rFonts w:hint="eastAsia" w:ascii="仿宋" w:eastAsia="仿宋" w:cs="仿宋"/>
        </w:rPr>
        <w:t>（5）技能拔尖人才免试录取：对于获得由教育部主办的全国职业院校技能大赛三等奖及以上奖项，或由省级教育行政部门主办的省级职业院校技能大赛一等奖的中等职业学校应届毕业生，和具有高级工</w:t>
      </w:r>
      <w:r>
        <w:rPr>
          <w:rFonts w:hint="eastAsia" w:ascii="仿宋" w:eastAsia="仿宋" w:cs="仿宋"/>
          <w:lang w:eastAsia="zh-CN"/>
        </w:rPr>
        <w:t>、</w:t>
      </w:r>
      <w:r>
        <w:rPr>
          <w:rFonts w:hint="eastAsia" w:ascii="仿宋" w:eastAsia="仿宋" w:cs="仿宋"/>
        </w:rPr>
        <w:t>技师资格、获得县级劳动模范先进个人称号的在职在岗中等职业学校毕业生，</w:t>
      </w:r>
      <w:r>
        <w:rPr>
          <w:rFonts w:hint="eastAsia" w:ascii="仿宋" w:eastAsia="仿宋" w:cs="仿宋"/>
          <w:lang w:val="en-US" w:eastAsia="zh-CN"/>
        </w:rPr>
        <w:t>于2月26日—28日</w:t>
      </w:r>
      <w:r>
        <w:rPr>
          <w:rFonts w:hint="eastAsia" w:ascii="仿宋" w:eastAsia="仿宋" w:cs="仿宋"/>
        </w:rPr>
        <w:t>持有关证明材料原件及复印件到学校提出申请免试，且只能申请与所获奖项相同或相近的专业，免试资格审查工作由我校负责。同时，严格执行免试录取公示制度，公示期为10个工作日。免试工作安排请关注我校招生信息网。</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rPr>
      </w:pPr>
      <w:r>
        <w:rPr>
          <w:rFonts w:hint="eastAsia" w:ascii="仿宋" w:eastAsia="仿宋" w:cs="仿宋"/>
          <w:b/>
        </w:rPr>
        <w:t>5.收费标准：</w:t>
      </w:r>
      <w:r>
        <w:rPr>
          <w:rFonts w:hint="eastAsia" w:ascii="仿宋" w:eastAsia="仿宋" w:cs="仿宋"/>
        </w:rPr>
        <w:t>时尚表演与传播专业7000元/年•人，视觉传达设计、数字媒体艺术设计、环境艺术设计专业6500元/年•人，中外合作办学专业14000元/年•人，其它各专业5000元/年•人。</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rPr>
      </w:pPr>
      <w:r>
        <w:rPr>
          <w:rFonts w:hint="eastAsia" w:ascii="仿宋" w:eastAsia="仿宋" w:cs="仿宋"/>
          <w:b/>
        </w:rPr>
        <w:t>6.颁发学历证书的学校名称及证书种类：</w:t>
      </w:r>
      <w:r>
        <w:rPr>
          <w:rFonts w:hint="eastAsia" w:ascii="仿宋" w:eastAsia="仿宋" w:cs="仿宋"/>
        </w:rPr>
        <w:t>学生学业期满、符合毕业条件的，颁发河北科技工程职业技术大学具印、经教育部学历电子注册的“普通高等学校学历证书”。</w:t>
      </w:r>
    </w:p>
    <w:p>
      <w:pPr>
        <w:keepNext w:val="0"/>
        <w:keepLines w:val="0"/>
        <w:pageBreakBefore w:val="0"/>
        <w:kinsoku/>
        <w:overflowPunct/>
        <w:topLinePunct w:val="0"/>
        <w:autoSpaceDE/>
        <w:autoSpaceDN/>
        <w:bidi w:val="0"/>
        <w:adjustRightInd/>
        <w:snapToGrid/>
        <w:spacing w:line="240" w:lineRule="auto"/>
        <w:ind w:firstLine="562" w:firstLineChars="200"/>
        <w:jc w:val="left"/>
        <w:textAlignment w:val="auto"/>
        <w:rPr>
          <w:rFonts w:ascii="仿宋" w:eastAsia="仿宋" w:cs="仿宋"/>
          <w:b/>
        </w:rPr>
      </w:pPr>
      <w:r>
        <w:rPr>
          <w:rFonts w:hint="eastAsia" w:ascii="仿宋" w:eastAsia="仿宋" w:cs="仿宋"/>
          <w:b/>
        </w:rPr>
        <w:t>7.联系方式</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240" w:lineRule="auto"/>
        <w:textAlignment w:val="auto"/>
        <w:rPr>
          <w:rFonts w:ascii="仿宋" w:eastAsia="仿宋" w:cs="仿宋"/>
          <w:sz w:val="28"/>
        </w:rPr>
      </w:pPr>
      <w:r>
        <w:rPr>
          <w:rFonts w:hint="eastAsia" w:ascii="仿宋" w:eastAsia="仿宋" w:cs="仿宋"/>
          <w:sz w:val="28"/>
        </w:rPr>
        <w:t xml:space="preserve">    </w:t>
      </w:r>
      <w:r>
        <w:rPr>
          <w:rFonts w:hint="eastAsia" w:ascii="仿宋" w:eastAsia="仿宋" w:cs="仿宋"/>
          <w:sz w:val="28"/>
          <w:lang w:val="en-US" w:eastAsia="zh-CN"/>
        </w:rPr>
        <w:t>学校</w:t>
      </w:r>
      <w:r>
        <w:rPr>
          <w:rFonts w:hint="eastAsia" w:ascii="仿宋" w:eastAsia="仿宋" w:cs="仿宋"/>
          <w:sz w:val="28"/>
        </w:rPr>
        <w:t>地址：</w:t>
      </w:r>
      <w:r>
        <w:rPr>
          <w:rFonts w:hint="eastAsia" w:ascii="仿宋" w:eastAsia="仿宋" w:cs="仿宋"/>
          <w:kern w:val="2"/>
          <w:sz w:val="28"/>
        </w:rPr>
        <w:t xml:space="preserve">邢台市信都区泉南西大街473号   </w:t>
      </w:r>
      <w:r>
        <w:rPr>
          <w:rFonts w:hint="eastAsia" w:ascii="仿宋" w:eastAsia="仿宋" w:cs="仿宋"/>
          <w:sz w:val="28"/>
        </w:rPr>
        <w:t>邮编：054035</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ascii="仿宋" w:eastAsia="仿宋" w:cs="仿宋"/>
        </w:rPr>
      </w:pPr>
      <w:r>
        <w:rPr>
          <w:rFonts w:hint="eastAsia" w:ascii="仿宋" w:eastAsia="仿宋" w:cs="仿宋"/>
        </w:rPr>
        <w:t>联系电话：0319-227367</w:t>
      </w:r>
      <w:r>
        <w:rPr>
          <w:rFonts w:hint="eastAsia" w:ascii="仿宋" w:eastAsia="仿宋" w:cs="仿宋"/>
          <w:lang w:val="en-US" w:eastAsia="zh-CN"/>
        </w:rPr>
        <w:t>6</w:t>
      </w:r>
      <w:r>
        <w:rPr>
          <w:rFonts w:hint="eastAsia" w:ascii="仿宋" w:eastAsia="仿宋" w:cs="仿宋"/>
          <w:lang w:eastAsia="zh-CN"/>
        </w:rPr>
        <w:t>、</w:t>
      </w:r>
      <w:r>
        <w:rPr>
          <w:rFonts w:hint="eastAsia" w:ascii="仿宋" w:eastAsia="仿宋" w:cs="仿宋"/>
        </w:rPr>
        <w:t>2273053、</w:t>
      </w:r>
      <w:r>
        <w:rPr>
          <w:rFonts w:hint="eastAsia" w:ascii="仿宋" w:eastAsia="仿宋" w:cs="仿宋"/>
          <w:lang w:val="en-US" w:eastAsia="zh-CN"/>
        </w:rPr>
        <w:t>2273675、</w:t>
      </w:r>
      <w:r>
        <w:rPr>
          <w:rFonts w:hint="eastAsia" w:ascii="仿宋" w:eastAsia="仿宋" w:cs="仿宋"/>
        </w:rPr>
        <w:t>2271766</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仿宋" w:eastAsia="仿宋" w:cs="仿宋"/>
        </w:rPr>
      </w:pPr>
      <w:r>
        <w:rPr>
          <w:rFonts w:hint="eastAsia" w:ascii="仿宋" w:eastAsia="仿宋" w:cs="仿宋"/>
          <w:lang w:val="en-US" w:eastAsia="zh-CN"/>
        </w:rPr>
        <w:t>学校</w:t>
      </w:r>
      <w:r>
        <w:rPr>
          <w:rFonts w:hint="eastAsia" w:ascii="仿宋" w:eastAsia="仿宋" w:cs="仿宋"/>
        </w:rPr>
        <w:t>网址：</w:t>
      </w:r>
      <w:r>
        <w:rPr>
          <w:rFonts w:hint="eastAsia" w:ascii="仿宋" w:eastAsia="仿宋" w:cs="仿宋"/>
        </w:rPr>
        <w:fldChar w:fldCharType="begin"/>
      </w:r>
      <w:r>
        <w:rPr>
          <w:rFonts w:hint="eastAsia" w:ascii="仿宋" w:eastAsia="仿宋" w:cs="仿宋"/>
        </w:rPr>
        <w:instrText xml:space="preserve"> HYPERLINK "http://www.xpc.edu.cn/" </w:instrText>
      </w:r>
      <w:r>
        <w:rPr>
          <w:rFonts w:hint="eastAsia" w:ascii="仿宋" w:eastAsia="仿宋" w:cs="仿宋"/>
        </w:rPr>
        <w:fldChar w:fldCharType="separate"/>
      </w:r>
      <w:r>
        <w:rPr>
          <w:rFonts w:hint="eastAsia" w:ascii="仿宋" w:eastAsia="仿宋" w:cs="仿宋"/>
        </w:rPr>
        <w:t>http://www.xpc.edu.cn/</w:t>
      </w:r>
      <w:r>
        <w:rPr>
          <w:rFonts w:hint="eastAsia" w:ascii="仿宋" w:eastAsia="仿宋" w:cs="仿宋"/>
        </w:rPr>
        <w:fldChar w:fldCharType="end"/>
      </w:r>
      <w:bookmarkStart w:id="0" w:name="_GoBack"/>
      <w:bookmarkEnd w:id="0"/>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仿宋" w:eastAsia="仿宋" w:cs="仿宋"/>
        </w:rPr>
      </w:pPr>
      <w:r>
        <w:rPr>
          <w:rFonts w:hint="eastAsia" w:ascii="仿宋" w:eastAsia="仿宋" w:cs="仿宋"/>
        </w:rPr>
        <w:t>招生信息网：http://zs.xpc.edu.cn/</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zYTk2NTY5NjQ2MGMxODlmZjllNzk2ZTYwMGFhZDgifQ=="/>
  </w:docVars>
  <w:rsids>
    <w:rsidRoot w:val="00EC039C"/>
    <w:rsid w:val="00094674"/>
    <w:rsid w:val="000A00B9"/>
    <w:rsid w:val="001C2E70"/>
    <w:rsid w:val="002915E5"/>
    <w:rsid w:val="003C6428"/>
    <w:rsid w:val="007014C6"/>
    <w:rsid w:val="00EC039C"/>
    <w:rsid w:val="010351AA"/>
    <w:rsid w:val="01CA5CC8"/>
    <w:rsid w:val="02145DE4"/>
    <w:rsid w:val="03FB660C"/>
    <w:rsid w:val="05595CE0"/>
    <w:rsid w:val="09DF3490"/>
    <w:rsid w:val="0B5C5BE2"/>
    <w:rsid w:val="0BC73AAA"/>
    <w:rsid w:val="0C915D60"/>
    <w:rsid w:val="100D1BA1"/>
    <w:rsid w:val="11B9343A"/>
    <w:rsid w:val="12304E92"/>
    <w:rsid w:val="12751AD9"/>
    <w:rsid w:val="12A40275"/>
    <w:rsid w:val="16866209"/>
    <w:rsid w:val="16DB47A7"/>
    <w:rsid w:val="17190E2C"/>
    <w:rsid w:val="174C0E52"/>
    <w:rsid w:val="17FE5B8E"/>
    <w:rsid w:val="192B12EA"/>
    <w:rsid w:val="19C36058"/>
    <w:rsid w:val="1D271DC8"/>
    <w:rsid w:val="1D4D182F"/>
    <w:rsid w:val="1E0C0B57"/>
    <w:rsid w:val="211A5ECC"/>
    <w:rsid w:val="215108EB"/>
    <w:rsid w:val="21BF0821"/>
    <w:rsid w:val="23A4392B"/>
    <w:rsid w:val="249441E7"/>
    <w:rsid w:val="266C7912"/>
    <w:rsid w:val="293146FB"/>
    <w:rsid w:val="2A265830"/>
    <w:rsid w:val="2D2C0701"/>
    <w:rsid w:val="2E971637"/>
    <w:rsid w:val="2EBF00B3"/>
    <w:rsid w:val="31365E81"/>
    <w:rsid w:val="344A6FB9"/>
    <w:rsid w:val="357F67EE"/>
    <w:rsid w:val="3D9330CB"/>
    <w:rsid w:val="3FCE45FA"/>
    <w:rsid w:val="420258B0"/>
    <w:rsid w:val="45444E9C"/>
    <w:rsid w:val="48BD16AF"/>
    <w:rsid w:val="4ABE526B"/>
    <w:rsid w:val="4B8708A4"/>
    <w:rsid w:val="4C0C68AE"/>
    <w:rsid w:val="4E3C6BD2"/>
    <w:rsid w:val="4E712D20"/>
    <w:rsid w:val="4FE614EB"/>
    <w:rsid w:val="53A31E4E"/>
    <w:rsid w:val="54E67A84"/>
    <w:rsid w:val="55EB09B2"/>
    <w:rsid w:val="59B44408"/>
    <w:rsid w:val="59EB1740"/>
    <w:rsid w:val="5A3916BC"/>
    <w:rsid w:val="5B392E17"/>
    <w:rsid w:val="5DB555F6"/>
    <w:rsid w:val="5E9810F1"/>
    <w:rsid w:val="630A5A6D"/>
    <w:rsid w:val="63952BB5"/>
    <w:rsid w:val="666D1BC7"/>
    <w:rsid w:val="67BC68D5"/>
    <w:rsid w:val="67E4235D"/>
    <w:rsid w:val="6A464C09"/>
    <w:rsid w:val="6B1E5B86"/>
    <w:rsid w:val="6D4612E3"/>
    <w:rsid w:val="6D786699"/>
    <w:rsid w:val="6DCA21D4"/>
    <w:rsid w:val="6EC32CCC"/>
    <w:rsid w:val="6ED76777"/>
    <w:rsid w:val="713A2FED"/>
    <w:rsid w:val="714479C8"/>
    <w:rsid w:val="727B2178"/>
    <w:rsid w:val="74853E5D"/>
    <w:rsid w:val="77C856C3"/>
    <w:rsid w:val="78DB7755"/>
    <w:rsid w:val="7D5C52B8"/>
    <w:rsid w:val="7E590F57"/>
    <w:rsid w:val="7EC1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微软雅黑" w:hAnsi="仿宋" w:eastAsia="微软雅黑" w:cs="Times New Roman"/>
      <w:kern w:val="2"/>
      <w:sz w:val="28"/>
      <w:szCs w:val="28"/>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spacing w:before="100" w:beforeAutospacing="1" w:after="100" w:afterAutospacing="1"/>
      <w:jc w:val="left"/>
    </w:pPr>
    <w:rPr>
      <w:kern w:val="0"/>
      <w:sz w:val="24"/>
    </w:rPr>
  </w:style>
  <w:style w:type="paragraph" w:styleId="5">
    <w:name w:val="Title"/>
    <w:basedOn w:val="1"/>
    <w:next w:val="1"/>
    <w:link w:val="11"/>
    <w:autoRedefine/>
    <w:qFormat/>
    <w:uiPriority w:val="99"/>
    <w:pPr>
      <w:spacing w:before="240" w:after="60"/>
      <w:jc w:val="center"/>
      <w:outlineLvl w:val="0"/>
    </w:pPr>
    <w:rPr>
      <w:rFonts w:ascii="Cambria" w:hAnsi="Cambria" w:eastAsia="宋体"/>
      <w:b/>
      <w:bCs/>
      <w:snapToGrid w:val="0"/>
      <w:kern w:val="0"/>
      <w:sz w:val="32"/>
      <w:szCs w:val="32"/>
    </w:rPr>
  </w:style>
  <w:style w:type="character" w:styleId="8">
    <w:name w:val="Hyperlink"/>
    <w:autoRedefine/>
    <w:unhideWhenUsed/>
    <w:qFormat/>
    <w:uiPriority w:val="99"/>
    <w:rPr>
      <w:color w:val="0000FF"/>
      <w:u w:val="single"/>
    </w:rPr>
  </w:style>
  <w:style w:type="character" w:customStyle="1" w:styleId="9">
    <w:name w:val="页眉 Char"/>
    <w:basedOn w:val="7"/>
    <w:link w:val="3"/>
    <w:autoRedefine/>
    <w:qFormat/>
    <w:uiPriority w:val="99"/>
    <w:rPr>
      <w:sz w:val="18"/>
      <w:szCs w:val="18"/>
    </w:rPr>
  </w:style>
  <w:style w:type="character" w:customStyle="1" w:styleId="10">
    <w:name w:val="页脚 Char"/>
    <w:basedOn w:val="7"/>
    <w:link w:val="2"/>
    <w:autoRedefine/>
    <w:qFormat/>
    <w:uiPriority w:val="99"/>
    <w:rPr>
      <w:sz w:val="18"/>
      <w:szCs w:val="18"/>
    </w:rPr>
  </w:style>
  <w:style w:type="character" w:customStyle="1" w:styleId="11">
    <w:name w:val="标题 Char"/>
    <w:link w:val="5"/>
    <w:autoRedefine/>
    <w:qFormat/>
    <w:uiPriority w:val="99"/>
    <w:rPr>
      <w:rFonts w:ascii="Cambria" w:hAnsi="Cambria" w:eastAsia="宋体" w:cs="Times New Roman"/>
      <w:b/>
      <w:bCs/>
      <w:snapToGrid w:val="0"/>
      <w:kern w:val="0"/>
      <w:sz w:val="32"/>
      <w:szCs w:val="32"/>
    </w:rPr>
  </w:style>
  <w:style w:type="character" w:customStyle="1" w:styleId="12">
    <w:name w:val="标题 Char1"/>
    <w:basedOn w:val="7"/>
    <w:autoRedefine/>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1307</Words>
  <Characters>1470</Characters>
  <Lines>32</Lines>
  <Paragraphs>9</Paragraphs>
  <TotalTime>6</TotalTime>
  <ScaleCrop>false</ScaleCrop>
  <LinksUpToDate>false</LinksUpToDate>
  <CharactersWithSpaces>1487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2022-12-15T13:36:00Z</dcterms:created>
  <dc:creator>Administrator</dc:creator>
  <cp:lastModifiedBy>李鹏</cp:lastModifiedBy>
  <cp:lastPrinted>2024-01-19T08:58:44Z</cp:lastPrinted>
  <dcterms:modified xsi:type="dcterms:W3CDTF">2024-01-19T09:01:12Z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905FE77E5AC1401283C18DBC198032F5_12</vt:lpwstr>
  </property>
</Properties>
</file>