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rPr>
          <w:rFonts w:ascii="宋体" w:hAnsi="宋体" w:eastAsia="宋体" w:cs="宋体"/>
          <w:sz w:val="44"/>
          <w:szCs w:val="44"/>
        </w:rPr>
      </w:pPr>
      <w:r>
        <w:rPr>
          <w:rFonts w:hint="eastAsia" w:ascii="宋体" w:hAnsi="宋体" w:eastAsia="宋体" w:cs="宋体"/>
          <w:sz w:val="44"/>
          <w:szCs w:val="44"/>
        </w:rPr>
        <w:t>天津滨海汽车工程职业学院</w:t>
      </w:r>
    </w:p>
    <w:p>
      <w:pPr>
        <w:pStyle w:val="7"/>
        <w:rPr>
          <w:rFonts w:ascii="宋体" w:hAnsi="宋体" w:eastAsia="宋体" w:cs="宋体"/>
          <w:sz w:val="44"/>
          <w:szCs w:val="44"/>
        </w:rPr>
      </w:pPr>
      <w:r>
        <w:rPr>
          <w:rFonts w:hint="eastAsia" w:ascii="宋体" w:hAnsi="宋体" w:eastAsia="宋体" w:cs="宋体"/>
          <w:sz w:val="44"/>
          <w:szCs w:val="44"/>
        </w:rPr>
        <w:t>2024年河北省高职单独考试招生简章</w:t>
      </w:r>
    </w:p>
    <w:p>
      <w:pPr>
        <w:spacing w:beforeLines="100" w:line="520" w:lineRule="exact"/>
        <w:ind w:firstLine="600" w:firstLineChars="200"/>
        <w:textAlignment w:val="baseline"/>
        <w:rPr>
          <w:rFonts w:ascii="仿宋" w:hAnsi="仿宋" w:eastAsia="仿宋" w:cs="仿宋"/>
          <w:sz w:val="30"/>
          <w:szCs w:val="30"/>
        </w:rPr>
      </w:pPr>
      <w:r>
        <w:rPr>
          <w:rFonts w:hint="eastAsia" w:ascii="仿宋" w:hAnsi="仿宋" w:eastAsia="仿宋" w:cs="仿宋"/>
          <w:sz w:val="30"/>
          <w:szCs w:val="30"/>
        </w:rPr>
        <w:t>学校名称：天津滨海汽车工程职业学院</w:t>
      </w:r>
      <w:r>
        <w:rPr>
          <w:rFonts w:hint="eastAsia" w:ascii="仿宋" w:hAnsi="仿宋" w:eastAsia="仿宋" w:cs="仿宋"/>
          <w:sz w:val="30"/>
          <w:szCs w:val="30"/>
        </w:rPr>
        <w:tab/>
      </w:r>
      <w:r>
        <w:rPr>
          <w:rFonts w:hint="eastAsia" w:ascii="仿宋" w:hAnsi="仿宋" w:eastAsia="仿宋" w:cs="仿宋"/>
          <w:sz w:val="30"/>
          <w:szCs w:val="30"/>
        </w:rPr>
        <w:tab/>
      </w:r>
    </w:p>
    <w:p>
      <w:pPr>
        <w:spacing w:beforeLines="100" w:line="520" w:lineRule="exact"/>
        <w:ind w:firstLine="600" w:firstLineChars="200"/>
        <w:textAlignment w:val="baseline"/>
        <w:rPr>
          <w:rFonts w:ascii="仿宋" w:hAnsi="仿宋" w:eastAsia="仿宋" w:cs="仿宋"/>
          <w:sz w:val="30"/>
          <w:szCs w:val="30"/>
        </w:rPr>
      </w:pPr>
      <w:r>
        <w:rPr>
          <w:rFonts w:hint="eastAsia" w:ascii="仿宋" w:hAnsi="仿宋" w:eastAsia="仿宋" w:cs="仿宋"/>
          <w:sz w:val="30"/>
          <w:szCs w:val="30"/>
        </w:rPr>
        <w:t>学校代码：14600</w:t>
      </w:r>
    </w:p>
    <w:p>
      <w:pPr>
        <w:spacing w:beforeLines="100" w:line="520" w:lineRule="exact"/>
        <w:ind w:firstLine="600" w:firstLineChars="200"/>
        <w:textAlignment w:val="baseline"/>
        <w:rPr>
          <w:rFonts w:ascii="仿宋" w:hAnsi="仿宋" w:eastAsia="仿宋" w:cs="仿宋"/>
          <w:sz w:val="30"/>
          <w:szCs w:val="30"/>
        </w:rPr>
      </w:pPr>
      <w:r>
        <w:rPr>
          <w:rFonts w:hint="eastAsia" w:ascii="仿宋" w:hAnsi="仿宋" w:eastAsia="仿宋" w:cs="仿宋"/>
          <w:sz w:val="30"/>
          <w:szCs w:val="30"/>
        </w:rPr>
        <w:t>办学类型：民办全日制普通高等职业技术学校</w:t>
      </w:r>
      <w:r>
        <w:rPr>
          <w:rFonts w:hint="eastAsia" w:ascii="仿宋" w:hAnsi="仿宋" w:eastAsia="仿宋" w:cs="仿宋"/>
          <w:sz w:val="30"/>
          <w:szCs w:val="30"/>
        </w:rPr>
        <w:tab/>
      </w:r>
    </w:p>
    <w:p>
      <w:pPr>
        <w:spacing w:beforeLines="100" w:line="520" w:lineRule="exact"/>
        <w:ind w:firstLine="600" w:firstLineChars="200"/>
        <w:textAlignment w:val="baseline"/>
        <w:rPr>
          <w:rFonts w:ascii="仿宋" w:hAnsi="仿宋" w:eastAsia="仿宋" w:cs="仿宋"/>
          <w:sz w:val="30"/>
          <w:szCs w:val="30"/>
        </w:rPr>
      </w:pPr>
      <w:r>
        <w:rPr>
          <w:rFonts w:hint="eastAsia" w:ascii="仿宋" w:hAnsi="仿宋" w:eastAsia="仿宋" w:cs="仿宋"/>
          <w:sz w:val="30"/>
          <w:szCs w:val="30"/>
        </w:rPr>
        <w:t>办学层次：高职（专科）</w:t>
      </w:r>
    </w:p>
    <w:p>
      <w:pPr>
        <w:spacing w:line="520" w:lineRule="exact"/>
        <w:ind w:firstLine="600" w:firstLineChars="200"/>
        <w:rPr>
          <w:rFonts w:ascii="仿宋" w:hAnsi="仿宋" w:eastAsia="仿宋" w:cs="仿宋"/>
          <w:sz w:val="30"/>
          <w:szCs w:val="30"/>
        </w:rPr>
      </w:pPr>
      <w:r>
        <w:rPr>
          <w:rFonts w:hint="eastAsia" w:ascii="仿宋" w:hAnsi="仿宋" w:eastAsia="仿宋" w:cs="仿宋"/>
          <w:sz w:val="30"/>
          <w:szCs w:val="30"/>
        </w:rPr>
        <w:t>天津滨海汽车工程职业学院是经天津市人民政府批准、教育部备案成立的全日制民办高职院校，是教育部第三批现代学徒制试点单位，天津市文明单位、天津市“大思政课”示范校。学校总占地面积57.42万平方米（861亩），建筑面积36.9万平方米，教学行政用房面积23.7万平方米。学校目前为“一校两区”办学格局，分别坐落于国家级特色小镇——津南区葛沽镇和武清区崔黄口镇，共设有3个二级学院22个教学专业。</w:t>
      </w:r>
    </w:p>
    <w:p>
      <w:pPr>
        <w:spacing w:line="520" w:lineRule="exact"/>
        <w:ind w:firstLine="600" w:firstLineChars="200"/>
        <w:rPr>
          <w:rFonts w:ascii="仿宋" w:hAnsi="仿宋" w:eastAsia="仿宋" w:cs="仿宋"/>
          <w:sz w:val="30"/>
          <w:szCs w:val="30"/>
        </w:rPr>
      </w:pPr>
      <w:r>
        <w:rPr>
          <w:rFonts w:hint="eastAsia" w:ascii="仿宋" w:hAnsi="仿宋" w:eastAsia="仿宋" w:cs="仿宋"/>
          <w:sz w:val="30"/>
          <w:szCs w:val="30"/>
        </w:rPr>
        <w:t>津南校区东临优美的滨海湖公园，西接国家职业教育改革创新示范区——海河教育园区。以服务区域经济，满足汽车、康复及信息等产业快速发展对人才的需求为宗旨，为汽车、健康及信息等产业的持续发展提供优质人力资源支撑，培养生产、建设、管理和服务一线需要的高素质技术技能型人才。</w:t>
      </w:r>
    </w:p>
    <w:p>
      <w:pPr>
        <w:spacing w:line="520" w:lineRule="exact"/>
        <w:ind w:firstLine="600" w:firstLineChars="200"/>
        <w:rPr>
          <w:rFonts w:ascii="仿宋" w:hAnsi="仿宋" w:eastAsia="仿宋" w:cs="仿宋"/>
          <w:sz w:val="30"/>
          <w:szCs w:val="30"/>
        </w:rPr>
      </w:pPr>
      <w:r>
        <w:rPr>
          <w:rFonts w:hint="eastAsia" w:ascii="仿宋" w:hAnsi="仿宋" w:eastAsia="仿宋" w:cs="仿宋"/>
          <w:sz w:val="30"/>
          <w:szCs w:val="30"/>
        </w:rPr>
        <w:t>武清校区位于京津电子商务产业园内，主要培养大数据技术、软件技术、物联网应用技术、人工智能技术应用、信息安全技术应用、电子商务和智能网联等方面的信息工程类人才，继续打造职业教育产教融合、城教融合新范式。</w:t>
      </w:r>
    </w:p>
    <w:p>
      <w:pPr>
        <w:spacing w:line="520" w:lineRule="exact"/>
        <w:ind w:firstLine="600" w:firstLineChars="200"/>
        <w:textAlignment w:val="baseline"/>
        <w:rPr>
          <w:rFonts w:ascii="仿宋" w:hAnsi="仿宋" w:eastAsia="仿宋" w:cs="仿宋"/>
          <w:sz w:val="30"/>
          <w:szCs w:val="30"/>
        </w:rPr>
      </w:pPr>
      <w:r>
        <w:rPr>
          <w:rFonts w:hint="eastAsia" w:ascii="仿宋" w:hAnsi="仿宋" w:eastAsia="仿宋" w:cs="仿宋"/>
          <w:sz w:val="30"/>
          <w:szCs w:val="30"/>
        </w:rPr>
        <w:t>学校坚持把“立德树人”作为根本任务，在市教育两委指导下，建设了9000余平方米的思政课育人阵地——天津市学校思想政治理论课主题教室。学校秉持“明德修身、术业专攻”的校训，发挥“企业办学，岗位培养”的独特优势，综合实力强，就业前景广。</w:t>
      </w:r>
    </w:p>
    <w:p>
      <w:pPr>
        <w:spacing w:line="520" w:lineRule="exact"/>
        <w:ind w:firstLine="602" w:firstLineChars="200"/>
        <w:textAlignment w:val="baseline"/>
        <w:rPr>
          <w:rFonts w:ascii="仿宋" w:hAnsi="仿宋" w:eastAsia="仿宋" w:cs="仿宋"/>
          <w:b/>
          <w:sz w:val="30"/>
          <w:szCs w:val="30"/>
        </w:rPr>
      </w:pPr>
      <w:r>
        <w:rPr>
          <w:rFonts w:hint="eastAsia" w:ascii="仿宋" w:hAnsi="仿宋" w:eastAsia="仿宋" w:cs="仿宋"/>
          <w:b/>
          <w:sz w:val="30"/>
          <w:szCs w:val="30"/>
        </w:rPr>
        <w:t>一、招生要求及报考条件</w:t>
      </w:r>
    </w:p>
    <w:p>
      <w:pPr>
        <w:spacing w:line="520" w:lineRule="exact"/>
        <w:ind w:firstLine="600" w:firstLineChars="200"/>
        <w:textAlignment w:val="baseline"/>
        <w:rPr>
          <w:rFonts w:ascii="仿宋" w:hAnsi="仿宋" w:eastAsia="仿宋" w:cs="仿宋"/>
          <w:sz w:val="30"/>
          <w:szCs w:val="30"/>
        </w:rPr>
      </w:pPr>
      <w:r>
        <w:rPr>
          <w:rFonts w:hint="eastAsia" w:ascii="仿宋" w:hAnsi="仿宋" w:eastAsia="仿宋" w:cs="仿宋"/>
          <w:sz w:val="30"/>
          <w:szCs w:val="30"/>
        </w:rPr>
        <w:t>1.已通过2024年河北省普通高校招生报名的考生。</w:t>
      </w:r>
    </w:p>
    <w:p>
      <w:pPr>
        <w:spacing w:line="520" w:lineRule="exact"/>
        <w:ind w:firstLine="600" w:firstLineChars="200"/>
        <w:textAlignment w:val="baseline"/>
        <w:rPr>
          <w:rFonts w:ascii="仿宋" w:hAnsi="仿宋" w:eastAsia="仿宋" w:cs="仿宋"/>
          <w:sz w:val="30"/>
          <w:szCs w:val="30"/>
        </w:rPr>
      </w:pPr>
      <w:r>
        <w:rPr>
          <w:rFonts w:hint="eastAsia" w:ascii="仿宋" w:hAnsi="仿宋" w:eastAsia="仿宋" w:cs="仿宋"/>
          <w:sz w:val="30"/>
          <w:szCs w:val="30"/>
        </w:rPr>
        <w:t>2.思想政治品德符合教育部有关规定。</w:t>
      </w:r>
    </w:p>
    <w:p>
      <w:pPr>
        <w:spacing w:line="520" w:lineRule="exact"/>
        <w:ind w:firstLine="600" w:firstLineChars="200"/>
        <w:textAlignment w:val="baseline"/>
        <w:rPr>
          <w:rFonts w:ascii="仿宋" w:hAnsi="仿宋" w:eastAsia="仿宋" w:cs="仿宋"/>
          <w:sz w:val="30"/>
          <w:szCs w:val="30"/>
        </w:rPr>
      </w:pPr>
      <w:r>
        <w:rPr>
          <w:rFonts w:hint="eastAsia" w:ascii="仿宋" w:hAnsi="仿宋" w:eastAsia="仿宋" w:cs="仿宋"/>
          <w:sz w:val="30"/>
          <w:szCs w:val="30"/>
        </w:rPr>
        <w:t>3.符合教育部《普通高等学校招生体检工作指导意见》规定。</w:t>
      </w:r>
    </w:p>
    <w:p>
      <w:pPr>
        <w:spacing w:line="520" w:lineRule="exact"/>
        <w:ind w:firstLine="600" w:firstLineChars="200"/>
        <w:textAlignment w:val="baseline"/>
        <w:rPr>
          <w:rFonts w:ascii="仿宋" w:hAnsi="仿宋" w:eastAsia="仿宋" w:cs="仿宋"/>
          <w:sz w:val="30"/>
          <w:szCs w:val="30"/>
        </w:rPr>
      </w:pPr>
      <w:r>
        <w:rPr>
          <w:rFonts w:hint="eastAsia" w:ascii="仿宋" w:hAnsi="仿宋" w:eastAsia="仿宋" w:cs="仿宋"/>
          <w:sz w:val="30"/>
          <w:szCs w:val="30"/>
        </w:rPr>
        <w:t>4.报名时不限外语语种，各专业开设公共外语课程均为英语。</w:t>
      </w:r>
    </w:p>
    <w:p>
      <w:pPr>
        <w:spacing w:line="520" w:lineRule="exact"/>
        <w:ind w:firstLine="602" w:firstLineChars="200"/>
        <w:textAlignment w:val="baseline"/>
        <w:rPr>
          <w:rFonts w:ascii="仿宋" w:hAnsi="仿宋" w:eastAsia="仿宋" w:cs="仿宋"/>
          <w:b/>
          <w:sz w:val="30"/>
          <w:szCs w:val="30"/>
        </w:rPr>
      </w:pPr>
      <w:r>
        <w:rPr>
          <w:rFonts w:hint="eastAsia" w:ascii="仿宋" w:hAnsi="仿宋" w:eastAsia="仿宋" w:cs="仿宋"/>
          <w:b/>
          <w:sz w:val="30"/>
          <w:szCs w:val="30"/>
        </w:rPr>
        <w:t>二、招生专业及招生计划</w:t>
      </w:r>
    </w:p>
    <w:p>
      <w:pPr>
        <w:spacing w:line="520" w:lineRule="exact"/>
        <w:ind w:firstLine="600" w:firstLineChars="200"/>
        <w:textAlignment w:val="baseline"/>
        <w:rPr>
          <w:rFonts w:ascii="仿宋" w:hAnsi="仿宋" w:eastAsia="仿宋" w:cs="仿宋"/>
          <w:sz w:val="30"/>
          <w:szCs w:val="30"/>
        </w:rPr>
      </w:pPr>
      <w:r>
        <w:rPr>
          <w:rFonts w:hint="eastAsia" w:ascii="仿宋" w:hAnsi="仿宋" w:eastAsia="仿宋" w:cs="仿宋"/>
          <w:sz w:val="30"/>
          <w:szCs w:val="30"/>
        </w:rPr>
        <w:t>学校2024年河北省高职单独考试招生计划及招生专业以河北省教育考试院网站公布为准。</w:t>
      </w:r>
    </w:p>
    <w:p>
      <w:pPr>
        <w:spacing w:line="520" w:lineRule="exact"/>
        <w:ind w:firstLine="602" w:firstLineChars="200"/>
        <w:textAlignment w:val="baseline"/>
        <w:rPr>
          <w:rFonts w:ascii="仿宋" w:hAnsi="仿宋" w:eastAsia="仿宋" w:cs="仿宋"/>
          <w:b/>
          <w:sz w:val="30"/>
          <w:szCs w:val="30"/>
        </w:rPr>
      </w:pPr>
      <w:r>
        <w:rPr>
          <w:rFonts w:hint="eastAsia" w:ascii="仿宋" w:hAnsi="仿宋" w:eastAsia="仿宋" w:cs="仿宋"/>
          <w:b/>
          <w:sz w:val="30"/>
          <w:szCs w:val="30"/>
        </w:rPr>
        <w:t>三、考试安排和成绩、录取结果公布</w:t>
      </w:r>
    </w:p>
    <w:p>
      <w:pPr>
        <w:spacing w:line="520" w:lineRule="exact"/>
        <w:ind w:firstLine="600" w:firstLineChars="200"/>
        <w:textAlignment w:val="baseline"/>
        <w:rPr>
          <w:rFonts w:ascii="仿宋" w:hAnsi="仿宋" w:eastAsia="仿宋" w:cs="仿宋"/>
          <w:sz w:val="30"/>
          <w:szCs w:val="30"/>
        </w:rPr>
      </w:pPr>
      <w:r>
        <w:rPr>
          <w:rFonts w:hint="eastAsia" w:ascii="仿宋" w:hAnsi="仿宋" w:eastAsia="仿宋" w:cs="仿宋"/>
          <w:sz w:val="30"/>
          <w:szCs w:val="30"/>
        </w:rPr>
        <w:t>考试安排、成绩和录取查询见河北省</w:t>
      </w:r>
      <w:r>
        <w:fldChar w:fldCharType="begin"/>
      </w:r>
      <w:r>
        <w:instrText xml:space="preserve"> HYPERLINK </w:instrText>
      </w:r>
      <w:r>
        <w:fldChar w:fldCharType="separate"/>
      </w:r>
      <w:r>
        <w:fldChar w:fldCharType="end"/>
      </w:r>
      <w:r>
        <w:rPr>
          <w:rFonts w:hint="eastAsia" w:ascii="仿宋" w:hAnsi="仿宋" w:eastAsia="仿宋" w:cs="仿宋"/>
          <w:sz w:val="30"/>
          <w:szCs w:val="30"/>
        </w:rPr>
        <w:t>教育考试院网站。</w:t>
      </w:r>
    </w:p>
    <w:p>
      <w:pPr>
        <w:spacing w:line="520" w:lineRule="exact"/>
        <w:ind w:firstLine="602" w:firstLineChars="200"/>
        <w:textAlignment w:val="baseline"/>
        <w:rPr>
          <w:rFonts w:ascii="仿宋" w:hAnsi="仿宋" w:eastAsia="仿宋" w:cs="仿宋"/>
          <w:b/>
          <w:sz w:val="30"/>
          <w:szCs w:val="30"/>
        </w:rPr>
      </w:pPr>
      <w:r>
        <w:rPr>
          <w:rFonts w:hint="eastAsia" w:ascii="仿宋" w:hAnsi="仿宋" w:eastAsia="仿宋" w:cs="仿宋"/>
          <w:b/>
          <w:sz w:val="30"/>
          <w:szCs w:val="30"/>
        </w:rPr>
        <w:t>四、录取规则</w:t>
      </w:r>
    </w:p>
    <w:p>
      <w:pPr>
        <w:spacing w:line="520" w:lineRule="exact"/>
        <w:ind w:firstLine="600" w:firstLineChars="200"/>
        <w:textAlignment w:val="baseline"/>
        <w:rPr>
          <w:rFonts w:ascii="仿宋" w:hAnsi="仿宋" w:eastAsia="仿宋" w:cs="仿宋"/>
          <w:sz w:val="30"/>
          <w:szCs w:val="30"/>
        </w:rPr>
      </w:pPr>
      <w:r>
        <w:rPr>
          <w:rFonts w:hint="eastAsia" w:ascii="仿宋" w:hAnsi="仿宋" w:eastAsia="仿宋" w:cs="仿宋"/>
          <w:sz w:val="30"/>
          <w:szCs w:val="30"/>
        </w:rPr>
        <w:t>1.严格实施“阳光工程”，坚持“公平、公正、公开”的录取原则。</w:t>
      </w:r>
    </w:p>
    <w:p>
      <w:pPr>
        <w:spacing w:line="520" w:lineRule="exact"/>
        <w:ind w:firstLine="600" w:firstLineChars="200"/>
        <w:textAlignment w:val="baseline"/>
        <w:rPr>
          <w:rFonts w:ascii="仿宋" w:hAnsi="仿宋" w:eastAsia="仿宋" w:cs="仿宋"/>
          <w:sz w:val="30"/>
          <w:szCs w:val="30"/>
        </w:rPr>
      </w:pPr>
      <w:r>
        <w:rPr>
          <w:rFonts w:hint="eastAsia" w:ascii="仿宋" w:hAnsi="仿宋" w:eastAsia="仿宋" w:cs="仿宋"/>
          <w:sz w:val="30"/>
          <w:szCs w:val="30"/>
        </w:rPr>
        <w:t>2.采用各考试类牵头院校提供的成绩作为录取依据，按照“分数优先、遵循志愿”的原则，从高分到低分排序，择优录取。同等分数情况下，比较职业技能考试成绩。职业技能成绩也相同的，依次比较文化素质考试的语文、数学和职业技能成绩中专业基础、职业适应性测试成绩，分数高者优先录取。如果单科成绩均相同，则全部录取。</w:t>
      </w:r>
    </w:p>
    <w:p>
      <w:pPr>
        <w:spacing w:line="520" w:lineRule="exact"/>
        <w:ind w:firstLine="600" w:firstLineChars="200"/>
        <w:textAlignment w:val="baseline"/>
        <w:rPr>
          <w:rFonts w:ascii="仿宋" w:hAnsi="仿宋" w:eastAsia="仿宋" w:cs="仿宋"/>
          <w:sz w:val="30"/>
          <w:szCs w:val="30"/>
        </w:rPr>
      </w:pPr>
      <w:r>
        <w:rPr>
          <w:rFonts w:hint="eastAsia" w:ascii="仿宋" w:hAnsi="仿宋" w:eastAsia="仿宋" w:cs="仿宋"/>
          <w:sz w:val="30"/>
          <w:szCs w:val="30"/>
        </w:rPr>
        <w:t>3.免试录取：</w:t>
      </w:r>
    </w:p>
    <w:p>
      <w:pPr>
        <w:spacing w:line="520" w:lineRule="exact"/>
        <w:ind w:firstLine="600" w:firstLineChars="200"/>
        <w:textAlignment w:val="baseline"/>
        <w:rPr>
          <w:rFonts w:ascii="仿宋" w:hAnsi="仿宋" w:eastAsia="仿宋" w:cs="仿宋"/>
          <w:sz w:val="30"/>
          <w:szCs w:val="30"/>
        </w:rPr>
      </w:pPr>
      <w:r>
        <w:rPr>
          <w:rFonts w:hint="eastAsia" w:ascii="仿宋" w:hAnsi="仿宋" w:eastAsia="仿宋" w:cs="仿宋"/>
          <w:sz w:val="30"/>
          <w:szCs w:val="30"/>
        </w:rPr>
        <w:t>对于获得由教育部主办或联办的全国职业院校技能大赛三等奖及以上奖项，或由省级教育行政部门主办或联办的省级职业院校技能大赛一等奖的中等职业学校应届毕业生，和具有高级工或技师资格、获得县级劳动模范先进个人称号的在职在岗中等职业学校毕业生，可申请与所获奖项相同或相近的专业免试录取。</w:t>
      </w:r>
    </w:p>
    <w:p>
      <w:pPr>
        <w:spacing w:line="520" w:lineRule="exact"/>
        <w:ind w:firstLine="600" w:firstLineChars="200"/>
        <w:textAlignment w:val="baseline"/>
        <w:rPr>
          <w:rFonts w:ascii="仿宋" w:hAnsi="仿宋" w:eastAsia="仿宋" w:cs="仿宋"/>
          <w:sz w:val="30"/>
          <w:szCs w:val="30"/>
        </w:rPr>
      </w:pPr>
      <w:r>
        <w:rPr>
          <w:rFonts w:hint="eastAsia" w:ascii="仿宋" w:hAnsi="仿宋" w:eastAsia="仿宋" w:cs="仿宋"/>
          <w:sz w:val="30"/>
          <w:szCs w:val="30"/>
        </w:rPr>
        <w:t>申请免试的考生，须履行单独考试报考手续，并于3月3日前将本人书面申请、身份证、获奖证书或资格证书、毕业证（在职在岗中等职业学校毕业生）等证明材料原件高清拍照后，以附件形式发送至226469258@qq.com，并将免试相关材料在规定时间邮寄至天津滨海汽车工程职业学校招生办公室，学校资格审查后将免试名单通过学校网站进行公示，最终上报河北省教育考试院录取备案。</w:t>
      </w:r>
    </w:p>
    <w:p>
      <w:pPr>
        <w:spacing w:line="520" w:lineRule="exact"/>
        <w:ind w:firstLine="600" w:firstLineChars="200"/>
        <w:textAlignment w:val="baseline"/>
        <w:rPr>
          <w:rFonts w:ascii="仿宋" w:hAnsi="仿宋" w:eastAsia="仿宋" w:cs="仿宋"/>
          <w:sz w:val="30"/>
          <w:szCs w:val="30"/>
        </w:rPr>
      </w:pPr>
      <w:r>
        <w:rPr>
          <w:rFonts w:hint="eastAsia" w:ascii="仿宋" w:hAnsi="仿宋" w:eastAsia="仿宋" w:cs="仿宋"/>
          <w:sz w:val="30"/>
          <w:szCs w:val="30"/>
        </w:rPr>
        <w:t>4.已被高职单招录取的考生，不再参加当年河北省普通高校招生统一考试（含普通高中学业水平选择性考试）和对口升学考试及录取。</w:t>
      </w:r>
    </w:p>
    <w:p>
      <w:pPr>
        <w:spacing w:line="520" w:lineRule="exact"/>
        <w:ind w:firstLine="600" w:firstLineChars="200"/>
        <w:textAlignment w:val="baseline"/>
        <w:rPr>
          <w:rFonts w:ascii="仿宋" w:hAnsi="仿宋" w:eastAsia="仿宋" w:cs="仿宋"/>
          <w:sz w:val="30"/>
          <w:szCs w:val="30"/>
        </w:rPr>
      </w:pPr>
      <w:r>
        <w:rPr>
          <w:rFonts w:hint="eastAsia" w:ascii="仿宋" w:hAnsi="仿宋" w:eastAsia="仿宋" w:cs="仿宋"/>
          <w:sz w:val="30"/>
          <w:szCs w:val="30"/>
        </w:rPr>
        <w:t>5.学校在报到时对新生入学资格进行初步审查，审查合格的办理入学手续，予以注册学籍；复查中发现学生存在弄虚作假、徇私舞弊等情形的，确定为复查不合格，应当取消学籍。</w:t>
      </w:r>
    </w:p>
    <w:p>
      <w:pPr>
        <w:numPr>
          <w:ilvl w:val="0"/>
          <w:numId w:val="1"/>
        </w:numPr>
        <w:spacing w:line="520" w:lineRule="exact"/>
        <w:ind w:firstLine="602" w:firstLineChars="200"/>
        <w:textAlignment w:val="baseline"/>
        <w:rPr>
          <w:rFonts w:ascii="仿宋" w:hAnsi="仿宋" w:eastAsia="仿宋" w:cs="仿宋"/>
          <w:b/>
          <w:sz w:val="30"/>
          <w:szCs w:val="30"/>
        </w:rPr>
      </w:pPr>
      <w:r>
        <w:rPr>
          <w:rFonts w:hint="eastAsia" w:ascii="仿宋" w:hAnsi="仿宋" w:eastAsia="仿宋" w:cs="仿宋"/>
          <w:b/>
          <w:sz w:val="30"/>
          <w:szCs w:val="30"/>
        </w:rPr>
        <w:t>收费标准</w:t>
      </w:r>
    </w:p>
    <w:p>
      <w:pPr>
        <w:spacing w:line="520" w:lineRule="exact"/>
        <w:ind w:firstLine="600" w:firstLineChars="200"/>
        <w:rPr>
          <w:rFonts w:ascii="仿宋" w:hAnsi="仿宋" w:eastAsia="仿宋" w:cs="仿宋"/>
          <w:sz w:val="30"/>
          <w:szCs w:val="30"/>
        </w:rPr>
      </w:pPr>
      <w:r>
        <w:rPr>
          <w:rFonts w:hint="eastAsia" w:ascii="仿宋" w:hAnsi="仿宋" w:eastAsia="仿宋" w:cs="仿宋"/>
          <w:sz w:val="30"/>
          <w:szCs w:val="30"/>
        </w:rPr>
        <w:t>1.学费：金融服务与管理（汽车金融）、汽车技术服务与营销、汽车技术服务与营销（汽车保险与理赔）、汽车技术服务与营销（二手车鉴定与评估）等4个专业12800元/生·年；汽车检测与维修技术、汽车电子技术等2个专业13800元/生·年；新能源汽车技术、康复治疗技术、言语听觉康复技术、口腔医学技术、护理（康复护理）、眼视光技术、大数据技术、汽车智能技术（智能网联）、空中乘务、软件技术、物联网应用技术、人工智能技术应用、电子商务、现代物流管理、婴幼儿托育服务与管理、信息安全技术应用等16个专业15800元/生·年。</w:t>
      </w:r>
    </w:p>
    <w:p>
      <w:pPr>
        <w:spacing w:line="520" w:lineRule="exact"/>
        <w:ind w:firstLine="600" w:firstLineChars="200"/>
        <w:rPr>
          <w:rFonts w:ascii="仿宋" w:hAnsi="仿宋" w:eastAsia="仿宋" w:cs="仿宋"/>
          <w:sz w:val="30"/>
          <w:szCs w:val="30"/>
        </w:rPr>
      </w:pPr>
      <w:r>
        <w:rPr>
          <w:rFonts w:hint="eastAsia" w:ascii="仿宋" w:hAnsi="仿宋" w:eastAsia="仿宋" w:cs="仿宋"/>
          <w:sz w:val="30"/>
          <w:szCs w:val="30"/>
        </w:rPr>
        <w:t>2.住宿费：3人间（包含独立卫浴）2500元/生·年（武清校区），4人—6人间（包含独立卫浴）2500元/生·年，8人间1500元/生·年。</w:t>
      </w:r>
    </w:p>
    <w:p>
      <w:pPr>
        <w:spacing w:line="520" w:lineRule="exact"/>
        <w:ind w:firstLine="602" w:firstLineChars="200"/>
        <w:textAlignment w:val="baseline"/>
        <w:rPr>
          <w:rFonts w:ascii="仿宋" w:hAnsi="仿宋" w:eastAsia="仿宋" w:cs="仿宋"/>
          <w:b/>
          <w:sz w:val="30"/>
          <w:szCs w:val="30"/>
        </w:rPr>
      </w:pPr>
      <w:r>
        <w:rPr>
          <w:rFonts w:hint="eastAsia" w:ascii="仿宋" w:hAnsi="仿宋" w:eastAsia="仿宋" w:cs="仿宋"/>
          <w:b/>
          <w:sz w:val="30"/>
          <w:szCs w:val="30"/>
        </w:rPr>
        <w:t>六、颁发学历证书的学校名称及证书种类</w:t>
      </w:r>
    </w:p>
    <w:p>
      <w:pPr>
        <w:spacing w:line="520" w:lineRule="exact"/>
        <w:ind w:firstLine="600" w:firstLineChars="200"/>
        <w:textAlignment w:val="baseline"/>
        <w:rPr>
          <w:rFonts w:ascii="仿宋" w:hAnsi="仿宋" w:eastAsia="仿宋" w:cs="仿宋"/>
          <w:sz w:val="30"/>
          <w:szCs w:val="30"/>
        </w:rPr>
      </w:pPr>
      <w:r>
        <w:rPr>
          <w:rFonts w:hint="eastAsia" w:ascii="仿宋" w:hAnsi="仿宋" w:eastAsia="仿宋" w:cs="仿宋"/>
          <w:sz w:val="30"/>
          <w:szCs w:val="30"/>
        </w:rPr>
        <w:t>被录取的高职单招学生与普通高考录取学生待遇相同，修完专业人才培养方案规定的全部课程，经考试合格并达到毕业标准，颁发天津滨海汽车工程职业学院全日制普通高等学校专科毕业证书，毕业证书由学校盖章，且在教育部进行电子学历注册，按国家普通高校毕业生就业政策就业。</w:t>
      </w:r>
    </w:p>
    <w:p>
      <w:pPr>
        <w:spacing w:line="520" w:lineRule="exact"/>
        <w:ind w:firstLine="602" w:firstLineChars="200"/>
        <w:textAlignment w:val="baseline"/>
        <w:rPr>
          <w:rFonts w:ascii="仿宋" w:hAnsi="仿宋" w:eastAsia="仿宋" w:cs="仿宋"/>
          <w:b/>
          <w:sz w:val="30"/>
          <w:szCs w:val="30"/>
        </w:rPr>
      </w:pPr>
      <w:r>
        <w:rPr>
          <w:rFonts w:hint="eastAsia" w:ascii="仿宋" w:hAnsi="仿宋" w:eastAsia="仿宋" w:cs="仿宋"/>
          <w:b/>
          <w:sz w:val="30"/>
          <w:szCs w:val="30"/>
        </w:rPr>
        <w:t>七、联系方式</w:t>
      </w:r>
    </w:p>
    <w:p>
      <w:pPr>
        <w:spacing w:line="520" w:lineRule="exact"/>
        <w:ind w:firstLine="600" w:firstLineChars="200"/>
        <w:rPr>
          <w:rFonts w:ascii="仿宋" w:hAnsi="仿宋" w:eastAsia="仿宋" w:cs="仿宋"/>
          <w:bCs/>
          <w:sz w:val="30"/>
          <w:szCs w:val="30"/>
        </w:rPr>
      </w:pPr>
      <w:r>
        <w:rPr>
          <w:rFonts w:hint="eastAsia" w:ascii="仿宋" w:hAnsi="仿宋" w:eastAsia="仿宋" w:cs="仿宋"/>
          <w:bCs/>
          <w:sz w:val="30"/>
          <w:szCs w:val="30"/>
        </w:rPr>
        <w:t>地址：天津市津南区葛沽镇创新二路36号（津南校区）</w:t>
      </w:r>
    </w:p>
    <w:p>
      <w:pPr>
        <w:pStyle w:val="2"/>
        <w:spacing w:line="520" w:lineRule="exact"/>
        <w:ind w:left="1396" w:leftChars="665"/>
        <w:rPr>
          <w:rFonts w:ascii="仿宋" w:hAnsi="仿宋" w:eastAsia="仿宋" w:cs="仿宋"/>
          <w:bCs/>
          <w:sz w:val="30"/>
          <w:szCs w:val="30"/>
        </w:rPr>
      </w:pPr>
      <w:r>
        <w:rPr>
          <w:rFonts w:hint="eastAsia" w:ascii="仿宋" w:hAnsi="仿宋" w:eastAsia="仿宋" w:cs="仿宋"/>
          <w:bCs/>
          <w:sz w:val="30"/>
          <w:szCs w:val="30"/>
        </w:rPr>
        <w:t>天津市武清区京津电子商务产业园崔黄口镇兴广路1号（武清校区）</w:t>
      </w:r>
    </w:p>
    <w:p>
      <w:pPr>
        <w:spacing w:line="520" w:lineRule="exact"/>
        <w:ind w:firstLine="600" w:firstLineChars="200"/>
        <w:rPr>
          <w:rFonts w:ascii="仿宋" w:hAnsi="仿宋" w:eastAsia="仿宋" w:cs="仿宋"/>
          <w:bCs/>
          <w:sz w:val="30"/>
          <w:szCs w:val="30"/>
        </w:rPr>
      </w:pPr>
      <w:r>
        <w:rPr>
          <w:rFonts w:hint="eastAsia" w:ascii="仿宋" w:hAnsi="仿宋" w:eastAsia="仿宋" w:cs="仿宋"/>
          <w:bCs/>
          <w:sz w:val="30"/>
          <w:szCs w:val="30"/>
        </w:rPr>
        <w:t>邮编：300352、301702</w:t>
      </w:r>
    </w:p>
    <w:p>
      <w:pPr>
        <w:spacing w:line="520" w:lineRule="exact"/>
        <w:ind w:firstLine="600" w:firstLineChars="200"/>
        <w:rPr>
          <w:rFonts w:ascii="仿宋" w:hAnsi="仿宋" w:eastAsia="仿宋" w:cs="仿宋"/>
          <w:bCs/>
          <w:sz w:val="30"/>
          <w:szCs w:val="30"/>
        </w:rPr>
      </w:pPr>
      <w:r>
        <w:rPr>
          <w:rFonts w:hint="eastAsia" w:ascii="仿宋" w:hAnsi="仿宋" w:eastAsia="仿宋" w:cs="仿宋"/>
          <w:bCs/>
          <w:sz w:val="30"/>
          <w:szCs w:val="30"/>
        </w:rPr>
        <w:t>电话：022-58553367、58553368、58553369、58553366（兼传真）</w:t>
      </w:r>
    </w:p>
    <w:p>
      <w:pPr>
        <w:spacing w:line="520" w:lineRule="exact"/>
        <w:ind w:firstLine="600" w:firstLineChars="200"/>
        <w:rPr>
          <w:rFonts w:ascii="仿宋" w:hAnsi="仿宋" w:eastAsia="仿宋" w:cs="仿宋"/>
          <w:bCs/>
          <w:sz w:val="30"/>
          <w:szCs w:val="30"/>
        </w:rPr>
      </w:pPr>
      <w:r>
        <w:rPr>
          <w:rFonts w:hint="eastAsia" w:ascii="仿宋" w:hAnsi="仿宋" w:eastAsia="仿宋" w:cs="仿宋"/>
          <w:bCs/>
          <w:sz w:val="30"/>
          <w:szCs w:val="30"/>
        </w:rPr>
        <w:t>网址：www.tqzyxy.com</w:t>
      </w:r>
    </w:p>
    <w:p>
      <w:pPr>
        <w:pStyle w:val="2"/>
        <w:spacing w:line="520" w:lineRule="exact"/>
        <w:rPr>
          <w:rFonts w:hint="eastAsia" w:ascii="仿宋" w:hAnsi="仿宋" w:eastAsia="仿宋" w:cs="仿宋"/>
          <w:sz w:val="30"/>
          <w:szCs w:val="30"/>
        </w:rPr>
      </w:pPr>
    </w:p>
    <w:p>
      <w:pPr>
        <w:rPr>
          <w:rFonts w:hint="eastAsia"/>
        </w:rPr>
      </w:pPr>
    </w:p>
    <w:p>
      <w:pPr>
        <w:pStyle w:val="2"/>
      </w:pPr>
    </w:p>
    <w:p>
      <w:pPr>
        <w:spacing w:line="520" w:lineRule="exact"/>
        <w:jc w:val="center"/>
        <w:textAlignment w:val="baseline"/>
        <w:rPr>
          <w:rFonts w:ascii="仿宋" w:hAnsi="仿宋" w:eastAsia="仿宋" w:cs="仿宋"/>
          <w:sz w:val="30"/>
          <w:szCs w:val="30"/>
        </w:rPr>
      </w:pPr>
      <w:r>
        <w:rPr>
          <w:rFonts w:hint="eastAsia" w:ascii="仿宋" w:hAnsi="仿宋" w:eastAsia="仿宋" w:cs="仿宋"/>
          <w:sz w:val="30"/>
          <w:szCs w:val="30"/>
        </w:rPr>
        <w:t xml:space="preserve">                             </w:t>
      </w:r>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100782673"/>
    </w:sdtPr>
    <w:sdtContent>
      <w:sdt>
        <w:sdtPr>
          <w:id w:val="1728636285"/>
        </w:sdtPr>
        <w:sdtContent>
          <w:p>
            <w:pPr>
              <w:pStyle w:val="2"/>
              <w:jc w:val="center"/>
            </w:pPr>
            <w:r>
              <w:rPr>
                <w:bCs/>
                <w:sz w:val="24"/>
                <w:szCs w:val="24"/>
              </w:rPr>
              <w:fldChar w:fldCharType="begin"/>
            </w:r>
            <w:r>
              <w:rPr>
                <w:bCs/>
              </w:rPr>
              <w:instrText xml:space="preserve">PAGE</w:instrText>
            </w:r>
            <w:r>
              <w:rPr>
                <w:bCs/>
                <w:sz w:val="24"/>
                <w:szCs w:val="24"/>
              </w:rPr>
              <w:fldChar w:fldCharType="separate"/>
            </w:r>
            <w:r>
              <w:rPr>
                <w:bCs/>
              </w:rPr>
              <w:t>4</w:t>
            </w:r>
            <w:r>
              <w:rPr>
                <w:bCs/>
                <w:sz w:val="24"/>
                <w:szCs w:val="24"/>
              </w:rPr>
              <w:fldChar w:fldCharType="end"/>
            </w:r>
            <w:r>
              <w:rPr>
                <w:lang w:val="zh-CN"/>
              </w:rPr>
              <w:t xml:space="preserve"> / </w:t>
            </w:r>
            <w:r>
              <w:rPr>
                <w:bCs/>
                <w:sz w:val="24"/>
                <w:szCs w:val="24"/>
              </w:rPr>
              <w:fldChar w:fldCharType="begin"/>
            </w:r>
            <w:r>
              <w:rPr>
                <w:bCs/>
              </w:rPr>
              <w:instrText xml:space="preserve">NUMPAGES</w:instrText>
            </w:r>
            <w:r>
              <w:rPr>
                <w:bCs/>
                <w:sz w:val="24"/>
                <w:szCs w:val="24"/>
              </w:rPr>
              <w:fldChar w:fldCharType="separate"/>
            </w:r>
            <w:r>
              <w:rPr>
                <w:bCs/>
              </w:rPr>
              <w:t>4</w:t>
            </w:r>
            <w:r>
              <w:rPr>
                <w:bCs/>
                <w:sz w:val="24"/>
                <w:szCs w:val="24"/>
              </w:rPr>
              <w:fldChar w:fldCharType="end"/>
            </w:r>
          </w:p>
        </w:sdtContent>
      </w:sdt>
    </w:sdtContent>
  </w:sdt>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287EB4"/>
    <w:multiLevelType w:val="singleLevel"/>
    <w:tmpl w:val="9F287EB4"/>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GQ5N2I5MjJmYjlhMjZkNDFkMmFkYjE5NTgzY2NkYzAifQ=="/>
  </w:docVars>
  <w:rsids>
    <w:rsidRoot w:val="00F7400F"/>
    <w:rsid w:val="00017398"/>
    <w:rsid w:val="000221C4"/>
    <w:rsid w:val="00022C85"/>
    <w:rsid w:val="000331AF"/>
    <w:rsid w:val="00060BA6"/>
    <w:rsid w:val="00084F41"/>
    <w:rsid w:val="00095643"/>
    <w:rsid w:val="000A3016"/>
    <w:rsid w:val="000C04E7"/>
    <w:rsid w:val="000D4A6F"/>
    <w:rsid w:val="000D4D2B"/>
    <w:rsid w:val="000E5774"/>
    <w:rsid w:val="000F341A"/>
    <w:rsid w:val="000F5270"/>
    <w:rsid w:val="001006D1"/>
    <w:rsid w:val="0010285D"/>
    <w:rsid w:val="00125C73"/>
    <w:rsid w:val="0012741B"/>
    <w:rsid w:val="00140CD0"/>
    <w:rsid w:val="00161DFA"/>
    <w:rsid w:val="0017482E"/>
    <w:rsid w:val="00191D18"/>
    <w:rsid w:val="001A4257"/>
    <w:rsid w:val="001A6EC9"/>
    <w:rsid w:val="001D4533"/>
    <w:rsid w:val="001F114A"/>
    <w:rsid w:val="002A1DD3"/>
    <w:rsid w:val="002A4053"/>
    <w:rsid w:val="002A40FF"/>
    <w:rsid w:val="002C38B9"/>
    <w:rsid w:val="002D6297"/>
    <w:rsid w:val="003079DF"/>
    <w:rsid w:val="00317EB4"/>
    <w:rsid w:val="003345F0"/>
    <w:rsid w:val="003433A8"/>
    <w:rsid w:val="00360813"/>
    <w:rsid w:val="00363869"/>
    <w:rsid w:val="00372D6C"/>
    <w:rsid w:val="003A1191"/>
    <w:rsid w:val="003A1447"/>
    <w:rsid w:val="003A2BE4"/>
    <w:rsid w:val="003A7E27"/>
    <w:rsid w:val="003B02DB"/>
    <w:rsid w:val="003C0B37"/>
    <w:rsid w:val="003C1FE5"/>
    <w:rsid w:val="003C6D9A"/>
    <w:rsid w:val="003C7380"/>
    <w:rsid w:val="003D6044"/>
    <w:rsid w:val="003E0C14"/>
    <w:rsid w:val="003E7D97"/>
    <w:rsid w:val="003F0B6F"/>
    <w:rsid w:val="004030CC"/>
    <w:rsid w:val="00404BFF"/>
    <w:rsid w:val="00407047"/>
    <w:rsid w:val="00407589"/>
    <w:rsid w:val="00410355"/>
    <w:rsid w:val="004379FD"/>
    <w:rsid w:val="00441666"/>
    <w:rsid w:val="00460309"/>
    <w:rsid w:val="00460D03"/>
    <w:rsid w:val="0047488C"/>
    <w:rsid w:val="00481160"/>
    <w:rsid w:val="00490B72"/>
    <w:rsid w:val="00492C4A"/>
    <w:rsid w:val="004A3ACC"/>
    <w:rsid w:val="004B4F33"/>
    <w:rsid w:val="004D0085"/>
    <w:rsid w:val="004D15DD"/>
    <w:rsid w:val="004F0640"/>
    <w:rsid w:val="004F6F81"/>
    <w:rsid w:val="00501B1F"/>
    <w:rsid w:val="00506810"/>
    <w:rsid w:val="005122DF"/>
    <w:rsid w:val="005157B6"/>
    <w:rsid w:val="00515B3A"/>
    <w:rsid w:val="005175EB"/>
    <w:rsid w:val="0053172F"/>
    <w:rsid w:val="0053700C"/>
    <w:rsid w:val="00544EBB"/>
    <w:rsid w:val="00570F05"/>
    <w:rsid w:val="00571FA7"/>
    <w:rsid w:val="005827E9"/>
    <w:rsid w:val="005833D3"/>
    <w:rsid w:val="005A4924"/>
    <w:rsid w:val="005B022B"/>
    <w:rsid w:val="005C1E2D"/>
    <w:rsid w:val="005C5845"/>
    <w:rsid w:val="005D234A"/>
    <w:rsid w:val="005E5B6C"/>
    <w:rsid w:val="005F3AA9"/>
    <w:rsid w:val="00605973"/>
    <w:rsid w:val="00614FBA"/>
    <w:rsid w:val="00631DBD"/>
    <w:rsid w:val="006329D1"/>
    <w:rsid w:val="00644095"/>
    <w:rsid w:val="00646EA0"/>
    <w:rsid w:val="0064735B"/>
    <w:rsid w:val="00647684"/>
    <w:rsid w:val="00682F1B"/>
    <w:rsid w:val="00693CC9"/>
    <w:rsid w:val="006A4C89"/>
    <w:rsid w:val="006A5CC6"/>
    <w:rsid w:val="006B6A6C"/>
    <w:rsid w:val="006C1717"/>
    <w:rsid w:val="006C5D21"/>
    <w:rsid w:val="006D4D3B"/>
    <w:rsid w:val="006D7862"/>
    <w:rsid w:val="0070025D"/>
    <w:rsid w:val="00757D7F"/>
    <w:rsid w:val="00760B86"/>
    <w:rsid w:val="00763ACA"/>
    <w:rsid w:val="007641F0"/>
    <w:rsid w:val="00765971"/>
    <w:rsid w:val="00770A77"/>
    <w:rsid w:val="007869FE"/>
    <w:rsid w:val="00786BF7"/>
    <w:rsid w:val="007A2EC1"/>
    <w:rsid w:val="007A5D44"/>
    <w:rsid w:val="007B2081"/>
    <w:rsid w:val="007B73A5"/>
    <w:rsid w:val="007C4174"/>
    <w:rsid w:val="007D4CA7"/>
    <w:rsid w:val="008541E8"/>
    <w:rsid w:val="00871E42"/>
    <w:rsid w:val="008746A1"/>
    <w:rsid w:val="008824ED"/>
    <w:rsid w:val="008846AD"/>
    <w:rsid w:val="008A6861"/>
    <w:rsid w:val="008A7D2E"/>
    <w:rsid w:val="008B2C1F"/>
    <w:rsid w:val="008B659A"/>
    <w:rsid w:val="008C01FC"/>
    <w:rsid w:val="008D1C1C"/>
    <w:rsid w:val="00917002"/>
    <w:rsid w:val="00926ED9"/>
    <w:rsid w:val="009365F7"/>
    <w:rsid w:val="00942140"/>
    <w:rsid w:val="009510BB"/>
    <w:rsid w:val="00954113"/>
    <w:rsid w:val="00971EBC"/>
    <w:rsid w:val="00982BAF"/>
    <w:rsid w:val="009A431D"/>
    <w:rsid w:val="009A7DAE"/>
    <w:rsid w:val="009B424D"/>
    <w:rsid w:val="009C6DE6"/>
    <w:rsid w:val="009F22BD"/>
    <w:rsid w:val="00A045A6"/>
    <w:rsid w:val="00A339D9"/>
    <w:rsid w:val="00A67636"/>
    <w:rsid w:val="00A7631D"/>
    <w:rsid w:val="00A84755"/>
    <w:rsid w:val="00A859B6"/>
    <w:rsid w:val="00AA6D22"/>
    <w:rsid w:val="00AB4F51"/>
    <w:rsid w:val="00AD1A88"/>
    <w:rsid w:val="00AD22D7"/>
    <w:rsid w:val="00AE2703"/>
    <w:rsid w:val="00AF0BA9"/>
    <w:rsid w:val="00B21DD7"/>
    <w:rsid w:val="00B23287"/>
    <w:rsid w:val="00B248A3"/>
    <w:rsid w:val="00B3150B"/>
    <w:rsid w:val="00B3490B"/>
    <w:rsid w:val="00B465CB"/>
    <w:rsid w:val="00B61518"/>
    <w:rsid w:val="00B76FCC"/>
    <w:rsid w:val="00BA6B24"/>
    <w:rsid w:val="00BA7637"/>
    <w:rsid w:val="00BC6CC3"/>
    <w:rsid w:val="00BF0412"/>
    <w:rsid w:val="00C00FEC"/>
    <w:rsid w:val="00C1558B"/>
    <w:rsid w:val="00C54B2F"/>
    <w:rsid w:val="00C579CF"/>
    <w:rsid w:val="00C7588A"/>
    <w:rsid w:val="00CC4CC8"/>
    <w:rsid w:val="00CC587A"/>
    <w:rsid w:val="00CE0751"/>
    <w:rsid w:val="00CF7D7B"/>
    <w:rsid w:val="00D13BF2"/>
    <w:rsid w:val="00D21161"/>
    <w:rsid w:val="00D22B4F"/>
    <w:rsid w:val="00D33640"/>
    <w:rsid w:val="00D50BFF"/>
    <w:rsid w:val="00D72FE3"/>
    <w:rsid w:val="00D746E0"/>
    <w:rsid w:val="00D83D2B"/>
    <w:rsid w:val="00D84B85"/>
    <w:rsid w:val="00D861B2"/>
    <w:rsid w:val="00D868D9"/>
    <w:rsid w:val="00DA1F5F"/>
    <w:rsid w:val="00DA4049"/>
    <w:rsid w:val="00DA6D6B"/>
    <w:rsid w:val="00DA6EF3"/>
    <w:rsid w:val="00DB035E"/>
    <w:rsid w:val="00DD179E"/>
    <w:rsid w:val="00DD4838"/>
    <w:rsid w:val="00DF00C7"/>
    <w:rsid w:val="00DF123F"/>
    <w:rsid w:val="00DF2F46"/>
    <w:rsid w:val="00DF33D7"/>
    <w:rsid w:val="00DF6635"/>
    <w:rsid w:val="00E11E44"/>
    <w:rsid w:val="00E12FF4"/>
    <w:rsid w:val="00E25D72"/>
    <w:rsid w:val="00E265E7"/>
    <w:rsid w:val="00E747F3"/>
    <w:rsid w:val="00E84134"/>
    <w:rsid w:val="00E8420B"/>
    <w:rsid w:val="00E97029"/>
    <w:rsid w:val="00EA0578"/>
    <w:rsid w:val="00EB1201"/>
    <w:rsid w:val="00ED0EB3"/>
    <w:rsid w:val="00F019C4"/>
    <w:rsid w:val="00F03526"/>
    <w:rsid w:val="00F05FE6"/>
    <w:rsid w:val="00F12B94"/>
    <w:rsid w:val="00F24055"/>
    <w:rsid w:val="00F2536A"/>
    <w:rsid w:val="00F338DA"/>
    <w:rsid w:val="00F5303D"/>
    <w:rsid w:val="00F53747"/>
    <w:rsid w:val="00F5391C"/>
    <w:rsid w:val="00F7400F"/>
    <w:rsid w:val="00F82C88"/>
    <w:rsid w:val="00F93B4E"/>
    <w:rsid w:val="00F94D51"/>
    <w:rsid w:val="00F96015"/>
    <w:rsid w:val="00FA4347"/>
    <w:rsid w:val="00FB57CA"/>
    <w:rsid w:val="00FC66F0"/>
    <w:rsid w:val="00FD4330"/>
    <w:rsid w:val="00FD6ED0"/>
    <w:rsid w:val="01011432"/>
    <w:rsid w:val="01233096"/>
    <w:rsid w:val="020E2058"/>
    <w:rsid w:val="023C57F1"/>
    <w:rsid w:val="02C170CB"/>
    <w:rsid w:val="03231B33"/>
    <w:rsid w:val="03863E70"/>
    <w:rsid w:val="03FE1C03"/>
    <w:rsid w:val="04772482"/>
    <w:rsid w:val="049B394B"/>
    <w:rsid w:val="054364BD"/>
    <w:rsid w:val="0554667D"/>
    <w:rsid w:val="059C797B"/>
    <w:rsid w:val="06F537E7"/>
    <w:rsid w:val="078828AD"/>
    <w:rsid w:val="0869587F"/>
    <w:rsid w:val="0878647D"/>
    <w:rsid w:val="09155A02"/>
    <w:rsid w:val="09805F33"/>
    <w:rsid w:val="09C1701F"/>
    <w:rsid w:val="0A173A74"/>
    <w:rsid w:val="0A224BE7"/>
    <w:rsid w:val="0AA158EB"/>
    <w:rsid w:val="0D2275AA"/>
    <w:rsid w:val="0E061BFC"/>
    <w:rsid w:val="0E903EA1"/>
    <w:rsid w:val="0E9B2EC6"/>
    <w:rsid w:val="102B44DA"/>
    <w:rsid w:val="1074577C"/>
    <w:rsid w:val="10753EEC"/>
    <w:rsid w:val="117B363B"/>
    <w:rsid w:val="122C5632"/>
    <w:rsid w:val="13037222"/>
    <w:rsid w:val="130E7D24"/>
    <w:rsid w:val="140B63F8"/>
    <w:rsid w:val="1457163D"/>
    <w:rsid w:val="14ED7F17"/>
    <w:rsid w:val="154A5D9F"/>
    <w:rsid w:val="15584CF3"/>
    <w:rsid w:val="16041350"/>
    <w:rsid w:val="161F618A"/>
    <w:rsid w:val="16BF2B60"/>
    <w:rsid w:val="17C50FB3"/>
    <w:rsid w:val="18264DBB"/>
    <w:rsid w:val="190F6E75"/>
    <w:rsid w:val="1A755333"/>
    <w:rsid w:val="1AFD0A64"/>
    <w:rsid w:val="1B016DCB"/>
    <w:rsid w:val="1B711A26"/>
    <w:rsid w:val="1BA01FC7"/>
    <w:rsid w:val="1BDC2894"/>
    <w:rsid w:val="1BE225D5"/>
    <w:rsid w:val="1BFB419C"/>
    <w:rsid w:val="1C213768"/>
    <w:rsid w:val="1CBA6606"/>
    <w:rsid w:val="1D220175"/>
    <w:rsid w:val="1D6628F1"/>
    <w:rsid w:val="1DFA72D5"/>
    <w:rsid w:val="1E5B1A5B"/>
    <w:rsid w:val="1F0E521D"/>
    <w:rsid w:val="1F1B13D2"/>
    <w:rsid w:val="1FD97604"/>
    <w:rsid w:val="215F5FD5"/>
    <w:rsid w:val="21854F8F"/>
    <w:rsid w:val="22406988"/>
    <w:rsid w:val="23C30A9D"/>
    <w:rsid w:val="24541BDE"/>
    <w:rsid w:val="25E51382"/>
    <w:rsid w:val="26412D5D"/>
    <w:rsid w:val="28667C49"/>
    <w:rsid w:val="287320F0"/>
    <w:rsid w:val="2A4E194B"/>
    <w:rsid w:val="2A7976D0"/>
    <w:rsid w:val="2A940289"/>
    <w:rsid w:val="2B133327"/>
    <w:rsid w:val="2B3E20F5"/>
    <w:rsid w:val="2C1E254F"/>
    <w:rsid w:val="2D1A035F"/>
    <w:rsid w:val="2DB5310B"/>
    <w:rsid w:val="2E6C1D31"/>
    <w:rsid w:val="2ECF5DE6"/>
    <w:rsid w:val="2F795417"/>
    <w:rsid w:val="2FE92051"/>
    <w:rsid w:val="30107514"/>
    <w:rsid w:val="30503566"/>
    <w:rsid w:val="309F2AAF"/>
    <w:rsid w:val="31682C84"/>
    <w:rsid w:val="317D3022"/>
    <w:rsid w:val="31EC1930"/>
    <w:rsid w:val="32143B3D"/>
    <w:rsid w:val="33751AC9"/>
    <w:rsid w:val="33EF31E8"/>
    <w:rsid w:val="34030A42"/>
    <w:rsid w:val="354E5135"/>
    <w:rsid w:val="357F12D2"/>
    <w:rsid w:val="35991BA2"/>
    <w:rsid w:val="35A818A1"/>
    <w:rsid w:val="36347BD5"/>
    <w:rsid w:val="370F6D1F"/>
    <w:rsid w:val="371A057C"/>
    <w:rsid w:val="37F54B45"/>
    <w:rsid w:val="38F949AA"/>
    <w:rsid w:val="3912667F"/>
    <w:rsid w:val="39665CFB"/>
    <w:rsid w:val="39692FDB"/>
    <w:rsid w:val="396E4BAF"/>
    <w:rsid w:val="399F2FBB"/>
    <w:rsid w:val="39BA1C9A"/>
    <w:rsid w:val="39F51A2F"/>
    <w:rsid w:val="3B4303BA"/>
    <w:rsid w:val="3B445E41"/>
    <w:rsid w:val="3C8B3CCA"/>
    <w:rsid w:val="3DA70309"/>
    <w:rsid w:val="3ED34F6E"/>
    <w:rsid w:val="3F4A3181"/>
    <w:rsid w:val="3F693284"/>
    <w:rsid w:val="401776B5"/>
    <w:rsid w:val="418D3976"/>
    <w:rsid w:val="41AC2719"/>
    <w:rsid w:val="41F90BCB"/>
    <w:rsid w:val="425C5EED"/>
    <w:rsid w:val="42E770EA"/>
    <w:rsid w:val="43C81360"/>
    <w:rsid w:val="44011801"/>
    <w:rsid w:val="443275BA"/>
    <w:rsid w:val="450407B7"/>
    <w:rsid w:val="45144E13"/>
    <w:rsid w:val="45CD0A54"/>
    <w:rsid w:val="45D16BF2"/>
    <w:rsid w:val="45DF1AF1"/>
    <w:rsid w:val="45E16709"/>
    <w:rsid w:val="460852D8"/>
    <w:rsid w:val="46DF0E9A"/>
    <w:rsid w:val="46E065D9"/>
    <w:rsid w:val="47066E4B"/>
    <w:rsid w:val="473E0742"/>
    <w:rsid w:val="48D325CD"/>
    <w:rsid w:val="495837CF"/>
    <w:rsid w:val="4A9E767D"/>
    <w:rsid w:val="4AAE7501"/>
    <w:rsid w:val="4D0C050F"/>
    <w:rsid w:val="4D657D8E"/>
    <w:rsid w:val="4DB65EFD"/>
    <w:rsid w:val="4EC92E06"/>
    <w:rsid w:val="4EF30FC0"/>
    <w:rsid w:val="4F82475E"/>
    <w:rsid w:val="4FDE0794"/>
    <w:rsid w:val="502C5826"/>
    <w:rsid w:val="50BE5FC4"/>
    <w:rsid w:val="5167040A"/>
    <w:rsid w:val="51881AB3"/>
    <w:rsid w:val="518906F0"/>
    <w:rsid w:val="5280383F"/>
    <w:rsid w:val="52A91C2C"/>
    <w:rsid w:val="52EB7B2A"/>
    <w:rsid w:val="52F40552"/>
    <w:rsid w:val="543F151A"/>
    <w:rsid w:val="553E1482"/>
    <w:rsid w:val="55783707"/>
    <w:rsid w:val="55A45640"/>
    <w:rsid w:val="56887CCD"/>
    <w:rsid w:val="56F23471"/>
    <w:rsid w:val="5726407E"/>
    <w:rsid w:val="58DD5B14"/>
    <w:rsid w:val="598F3E5E"/>
    <w:rsid w:val="59BC1D39"/>
    <w:rsid w:val="59BD3ABC"/>
    <w:rsid w:val="59F72486"/>
    <w:rsid w:val="5A1706EC"/>
    <w:rsid w:val="5A276988"/>
    <w:rsid w:val="5AC44928"/>
    <w:rsid w:val="5C94442A"/>
    <w:rsid w:val="5CA01A4E"/>
    <w:rsid w:val="5D9B7590"/>
    <w:rsid w:val="5DCF0EC6"/>
    <w:rsid w:val="605A0C19"/>
    <w:rsid w:val="608F5287"/>
    <w:rsid w:val="60E06B4F"/>
    <w:rsid w:val="61236C5C"/>
    <w:rsid w:val="621C6ECF"/>
    <w:rsid w:val="634F509D"/>
    <w:rsid w:val="6759214B"/>
    <w:rsid w:val="67851192"/>
    <w:rsid w:val="67F41C0A"/>
    <w:rsid w:val="687A3954"/>
    <w:rsid w:val="6943270D"/>
    <w:rsid w:val="69D361E5"/>
    <w:rsid w:val="6AA3205B"/>
    <w:rsid w:val="6AA95198"/>
    <w:rsid w:val="6AEB73CA"/>
    <w:rsid w:val="6C187DC2"/>
    <w:rsid w:val="6C264CF2"/>
    <w:rsid w:val="6C26750F"/>
    <w:rsid w:val="6D090170"/>
    <w:rsid w:val="6D7564F3"/>
    <w:rsid w:val="6E034919"/>
    <w:rsid w:val="6E0760D1"/>
    <w:rsid w:val="6E103B09"/>
    <w:rsid w:val="6EE2414E"/>
    <w:rsid w:val="6FA7614A"/>
    <w:rsid w:val="70576D06"/>
    <w:rsid w:val="70EC3ED5"/>
    <w:rsid w:val="713036D2"/>
    <w:rsid w:val="7141236A"/>
    <w:rsid w:val="71D35AF2"/>
    <w:rsid w:val="720F447A"/>
    <w:rsid w:val="72E642C1"/>
    <w:rsid w:val="72F71196"/>
    <w:rsid w:val="73386317"/>
    <w:rsid w:val="734F3B18"/>
    <w:rsid w:val="735A1725"/>
    <w:rsid w:val="7433144C"/>
    <w:rsid w:val="762F62CD"/>
    <w:rsid w:val="764866D5"/>
    <w:rsid w:val="76753735"/>
    <w:rsid w:val="76B75B16"/>
    <w:rsid w:val="78721D93"/>
    <w:rsid w:val="78F77D47"/>
    <w:rsid w:val="792D121D"/>
    <w:rsid w:val="79344461"/>
    <w:rsid w:val="7A342CD0"/>
    <w:rsid w:val="7A565BF6"/>
    <w:rsid w:val="7A590BCF"/>
    <w:rsid w:val="7AC9327F"/>
    <w:rsid w:val="7BBF030C"/>
    <w:rsid w:val="7BF448F8"/>
    <w:rsid w:val="7C036DFE"/>
    <w:rsid w:val="7C1B7C6D"/>
    <w:rsid w:val="7C235415"/>
    <w:rsid w:val="7C6668FD"/>
    <w:rsid w:val="7D5055C7"/>
    <w:rsid w:val="7E2C51A2"/>
    <w:rsid w:val="7E9204D5"/>
    <w:rsid w:val="7E9B2DB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link w:val="14"/>
    <w:autoRedefine/>
    <w:qFormat/>
    <w:uiPriority w:val="9"/>
    <w:pPr>
      <w:keepNext/>
      <w:keepLines/>
      <w:spacing w:before="340" w:after="330" w:line="578" w:lineRule="auto"/>
      <w:outlineLvl w:val="0"/>
    </w:pPr>
    <w:rPr>
      <w:rFonts w:ascii="Times New Roman" w:hAnsi="Times New Roman" w:eastAsia="宋体" w:cs="Times New Roman"/>
      <w:b/>
      <w:bCs/>
      <w:kern w:val="44"/>
      <w:sz w:val="44"/>
      <w:szCs w:val="44"/>
    </w:rPr>
  </w:style>
  <w:style w:type="character" w:default="1" w:styleId="11">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footer"/>
    <w:basedOn w:val="1"/>
    <w:next w:val="1"/>
    <w:link w:val="16"/>
    <w:autoRedefine/>
    <w:unhideWhenUsed/>
    <w:qFormat/>
    <w:uiPriority w:val="99"/>
    <w:pPr>
      <w:tabs>
        <w:tab w:val="center" w:pos="4153"/>
        <w:tab w:val="right" w:pos="8306"/>
      </w:tabs>
      <w:snapToGrid w:val="0"/>
      <w:jc w:val="left"/>
    </w:pPr>
    <w:rPr>
      <w:sz w:val="18"/>
      <w:szCs w:val="18"/>
    </w:rPr>
  </w:style>
  <w:style w:type="paragraph" w:styleId="4">
    <w:name w:val="annotation text"/>
    <w:basedOn w:val="1"/>
    <w:link w:val="20"/>
    <w:autoRedefine/>
    <w:semiHidden/>
    <w:unhideWhenUsed/>
    <w:qFormat/>
    <w:uiPriority w:val="99"/>
    <w:pPr>
      <w:jc w:val="left"/>
    </w:pPr>
  </w:style>
  <w:style w:type="paragraph" w:styleId="5">
    <w:name w:val="Balloon Text"/>
    <w:basedOn w:val="1"/>
    <w:link w:val="18"/>
    <w:autoRedefine/>
    <w:semiHidden/>
    <w:unhideWhenUsed/>
    <w:qFormat/>
    <w:uiPriority w:val="99"/>
    <w:rPr>
      <w:sz w:val="18"/>
      <w:szCs w:val="18"/>
    </w:rPr>
  </w:style>
  <w:style w:type="paragraph" w:styleId="6">
    <w:name w:val="header"/>
    <w:basedOn w:val="1"/>
    <w:link w:val="15"/>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Subtitle"/>
    <w:basedOn w:val="1"/>
    <w:next w:val="1"/>
    <w:link w:val="17"/>
    <w:autoRedefine/>
    <w:qFormat/>
    <w:uiPriority w:val="11"/>
    <w:pPr>
      <w:spacing w:before="240" w:after="60" w:line="312" w:lineRule="auto"/>
      <w:jc w:val="center"/>
      <w:outlineLvl w:val="1"/>
    </w:pPr>
    <w:rPr>
      <w:b/>
      <w:bCs/>
      <w:kern w:val="28"/>
      <w:sz w:val="32"/>
      <w:szCs w:val="32"/>
    </w:rPr>
  </w:style>
  <w:style w:type="paragraph" w:styleId="8">
    <w:name w:val="Normal (Web)"/>
    <w:basedOn w:val="1"/>
    <w:autoRedefine/>
    <w:qFormat/>
    <w:uiPriority w:val="0"/>
    <w:pPr>
      <w:jc w:val="left"/>
    </w:pPr>
    <w:rPr>
      <w:rFonts w:ascii="Calibri" w:hAnsi="Calibri" w:eastAsia="宋体" w:cs="Times New Roman"/>
      <w:b/>
      <w:kern w:val="0"/>
      <w:sz w:val="24"/>
      <w:szCs w:val="20"/>
    </w:rPr>
  </w:style>
  <w:style w:type="paragraph" w:styleId="9">
    <w:name w:val="annotation subject"/>
    <w:basedOn w:val="4"/>
    <w:next w:val="4"/>
    <w:link w:val="21"/>
    <w:autoRedefine/>
    <w:semiHidden/>
    <w:unhideWhenUsed/>
    <w:qFormat/>
    <w:uiPriority w:val="99"/>
    <w:rPr>
      <w:b/>
      <w:bCs/>
    </w:rPr>
  </w:style>
  <w:style w:type="character" w:styleId="12">
    <w:name w:val="Hyperlink"/>
    <w:basedOn w:val="11"/>
    <w:autoRedefine/>
    <w:unhideWhenUsed/>
    <w:qFormat/>
    <w:uiPriority w:val="99"/>
    <w:rPr>
      <w:color w:val="0563C1" w:themeColor="hyperlink"/>
      <w:u w:val="single"/>
    </w:rPr>
  </w:style>
  <w:style w:type="character" w:styleId="13">
    <w:name w:val="annotation reference"/>
    <w:basedOn w:val="11"/>
    <w:autoRedefine/>
    <w:semiHidden/>
    <w:unhideWhenUsed/>
    <w:qFormat/>
    <w:uiPriority w:val="99"/>
    <w:rPr>
      <w:sz w:val="21"/>
      <w:szCs w:val="21"/>
    </w:rPr>
  </w:style>
  <w:style w:type="character" w:customStyle="1" w:styleId="14">
    <w:name w:val="标题 1 Char"/>
    <w:basedOn w:val="11"/>
    <w:link w:val="3"/>
    <w:autoRedefine/>
    <w:qFormat/>
    <w:uiPriority w:val="9"/>
    <w:rPr>
      <w:rFonts w:ascii="Times New Roman" w:hAnsi="Times New Roman" w:eastAsia="宋体" w:cs="Times New Roman"/>
      <w:b/>
      <w:bCs/>
      <w:kern w:val="44"/>
      <w:sz w:val="44"/>
      <w:szCs w:val="44"/>
    </w:rPr>
  </w:style>
  <w:style w:type="character" w:customStyle="1" w:styleId="15">
    <w:name w:val="页眉 Char"/>
    <w:basedOn w:val="11"/>
    <w:link w:val="6"/>
    <w:autoRedefine/>
    <w:qFormat/>
    <w:uiPriority w:val="99"/>
    <w:rPr>
      <w:sz w:val="18"/>
      <w:szCs w:val="18"/>
    </w:rPr>
  </w:style>
  <w:style w:type="character" w:customStyle="1" w:styleId="16">
    <w:name w:val="页脚 Char"/>
    <w:basedOn w:val="11"/>
    <w:link w:val="2"/>
    <w:autoRedefine/>
    <w:qFormat/>
    <w:uiPriority w:val="99"/>
    <w:rPr>
      <w:sz w:val="18"/>
      <w:szCs w:val="18"/>
    </w:rPr>
  </w:style>
  <w:style w:type="character" w:customStyle="1" w:styleId="17">
    <w:name w:val="副标题 Char"/>
    <w:basedOn w:val="11"/>
    <w:link w:val="7"/>
    <w:autoRedefine/>
    <w:qFormat/>
    <w:uiPriority w:val="11"/>
    <w:rPr>
      <w:b/>
      <w:bCs/>
      <w:kern w:val="28"/>
      <w:sz w:val="32"/>
      <w:szCs w:val="32"/>
    </w:rPr>
  </w:style>
  <w:style w:type="character" w:customStyle="1" w:styleId="18">
    <w:name w:val="批注框文本 Char"/>
    <w:basedOn w:val="11"/>
    <w:link w:val="5"/>
    <w:autoRedefine/>
    <w:semiHidden/>
    <w:qFormat/>
    <w:uiPriority w:val="99"/>
    <w:rPr>
      <w:sz w:val="18"/>
      <w:szCs w:val="18"/>
    </w:rPr>
  </w:style>
  <w:style w:type="paragraph" w:styleId="19">
    <w:name w:val="List Paragraph"/>
    <w:basedOn w:val="1"/>
    <w:autoRedefine/>
    <w:qFormat/>
    <w:uiPriority w:val="34"/>
    <w:pPr>
      <w:ind w:firstLine="420" w:firstLineChars="200"/>
    </w:pPr>
  </w:style>
  <w:style w:type="character" w:customStyle="1" w:styleId="20">
    <w:name w:val="批注文字 Char"/>
    <w:basedOn w:val="11"/>
    <w:link w:val="4"/>
    <w:autoRedefine/>
    <w:semiHidden/>
    <w:qFormat/>
    <w:uiPriority w:val="99"/>
    <w:rPr>
      <w:rFonts w:asciiTheme="minorHAnsi" w:hAnsiTheme="minorHAnsi" w:eastAsiaTheme="minorEastAsia" w:cstheme="minorBidi"/>
      <w:kern w:val="2"/>
      <w:sz w:val="21"/>
      <w:szCs w:val="22"/>
    </w:rPr>
  </w:style>
  <w:style w:type="character" w:customStyle="1" w:styleId="21">
    <w:name w:val="批注主题 Char"/>
    <w:basedOn w:val="20"/>
    <w:link w:val="9"/>
    <w:autoRedefine/>
    <w:semiHidden/>
    <w:qFormat/>
    <w:uiPriority w:val="99"/>
    <w:rPr>
      <w:b/>
      <w:bCs/>
    </w:rPr>
  </w:style>
  <w:style w:type="paragraph" w:customStyle="1" w:styleId="22">
    <w:name w:val="Default"/>
    <w:autoRedefine/>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customStyle="1" w:styleId="23">
    <w:name w:val="BodyText"/>
    <w:autoRedefine/>
    <w:qFormat/>
    <w:uiPriority w:val="0"/>
    <w:pPr>
      <w:tabs>
        <w:tab w:val="left" w:pos="720"/>
      </w:tabs>
      <w:spacing w:line="240" w:lineRule="atLeast"/>
      <w:jc w:val="both"/>
      <w:textAlignment w:val="baseline"/>
    </w:pPr>
    <w:rPr>
      <w:rFonts w:ascii="Times New Roman" w:hAnsi="Times New Roman" w:eastAsia="仿宋_GB2312" w:cs="Times New Roman"/>
      <w:kern w:val="2"/>
      <w:sz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AF2E89-177E-4647-A56D-BC30825C7170}">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339</Words>
  <Characters>1936</Characters>
  <Lines>16</Lines>
  <Paragraphs>4</Paragraphs>
  <TotalTime>2597</TotalTime>
  <ScaleCrop>false</ScaleCrop>
  <LinksUpToDate>false</LinksUpToDate>
  <CharactersWithSpaces>2271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2019-12-18T11:12:00Z</dcterms:created>
  <dc:creator>L TT</dc:creator>
  <cp:lastModifiedBy>霍元甲</cp:lastModifiedBy>
  <cp:lastPrinted>2024-03-18T08:18:00Z</cp:lastPrinted>
  <dcterms:modified xsi:type="dcterms:W3CDTF">2024-04-11T10:51:31Z</dcterms:modified>
  <cp:revision>252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1220ACC42B2F4A7191DA9A5D8B1073DB_13</vt:lpwstr>
  </property>
</Properties>
</file>